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418" w:rsidRPr="00DA23C5" w:rsidRDefault="00052418" w:rsidP="00071495">
      <w:pPr>
        <w:pStyle w:val="Corpotesto"/>
        <w:tabs>
          <w:tab w:val="left" w:pos="709"/>
          <w:tab w:val="left" w:pos="993"/>
        </w:tabs>
        <w:spacing w:line="240" w:lineRule="auto"/>
        <w:rPr>
          <w:rFonts w:ascii="Verdana" w:hAnsi="Verdana"/>
          <w:b/>
          <w:sz w:val="18"/>
          <w:szCs w:val="18"/>
        </w:rPr>
      </w:pPr>
    </w:p>
    <w:p w:rsidR="00C65D0B" w:rsidRPr="00DA23C5" w:rsidRDefault="00C65D0B" w:rsidP="00071495">
      <w:pPr>
        <w:pStyle w:val="Corpotesto"/>
        <w:tabs>
          <w:tab w:val="left" w:pos="709"/>
          <w:tab w:val="left" w:pos="993"/>
        </w:tabs>
        <w:spacing w:line="240" w:lineRule="auto"/>
        <w:rPr>
          <w:rFonts w:ascii="Verdana" w:hAnsi="Verdana"/>
          <w:b/>
          <w:sz w:val="18"/>
          <w:szCs w:val="18"/>
        </w:rPr>
      </w:pPr>
      <w:r w:rsidRPr="00DA23C5">
        <w:rPr>
          <w:rFonts w:ascii="Verdana" w:hAnsi="Verdana"/>
          <w:b/>
          <w:sz w:val="18"/>
          <w:szCs w:val="18"/>
        </w:rPr>
        <w:t>SEZIONE SPECIALE:</w:t>
      </w:r>
    </w:p>
    <w:p w:rsidR="00C65D0B" w:rsidRPr="00DA23C5" w:rsidRDefault="00C65D0B" w:rsidP="00071495">
      <w:pPr>
        <w:pStyle w:val="Corpotesto"/>
        <w:tabs>
          <w:tab w:val="left" w:pos="709"/>
          <w:tab w:val="left" w:pos="993"/>
        </w:tabs>
        <w:spacing w:line="240" w:lineRule="auto"/>
        <w:rPr>
          <w:rFonts w:ascii="Verdana" w:hAnsi="Verdana"/>
          <w:b/>
          <w:sz w:val="18"/>
          <w:szCs w:val="18"/>
        </w:rPr>
      </w:pPr>
      <w:r w:rsidRPr="00DA23C5">
        <w:rPr>
          <w:rFonts w:ascii="Verdana" w:hAnsi="Verdana"/>
          <w:b/>
          <w:sz w:val="18"/>
          <w:szCs w:val="18"/>
        </w:rPr>
        <w:t>RISPETTO DEI VINCOLI STATUTARI, DI LEGGE E DEGLI INDIRIZZI IMPARTITI DAI SOCI PER ROMAGNA ACQUE, SOCIETÀ A TOTALE PARTECIPAZIONE PUBBLICA IN HOUSE PROVIDING</w:t>
      </w:r>
    </w:p>
    <w:p w:rsidR="00C65D0B" w:rsidRPr="00DA23C5" w:rsidRDefault="00C65D0B" w:rsidP="00071495">
      <w:pPr>
        <w:pStyle w:val="Corpotesto"/>
        <w:tabs>
          <w:tab w:val="left" w:pos="709"/>
          <w:tab w:val="left" w:pos="993"/>
        </w:tabs>
        <w:spacing w:line="240" w:lineRule="auto"/>
        <w:rPr>
          <w:rFonts w:ascii="Verdana" w:hAnsi="Verdana"/>
          <w:sz w:val="18"/>
          <w:szCs w:val="18"/>
        </w:rPr>
      </w:pPr>
      <w:r w:rsidRPr="00DA23C5">
        <w:rPr>
          <w:rFonts w:ascii="Verdana" w:hAnsi="Verdana"/>
          <w:sz w:val="18"/>
          <w:szCs w:val="18"/>
        </w:rPr>
        <w:t xml:space="preserve">Questa Sezione ha lo scopo principale di raccogliere in un parte specifica della Relazione sulla gestione le informazioni richieste alla </w:t>
      </w:r>
      <w:r w:rsidR="00014B68" w:rsidRPr="00DA23C5">
        <w:rPr>
          <w:rFonts w:ascii="Verdana" w:hAnsi="Verdana"/>
          <w:sz w:val="18"/>
          <w:szCs w:val="18"/>
        </w:rPr>
        <w:t>s</w:t>
      </w:r>
      <w:r w:rsidRPr="00DA23C5">
        <w:rPr>
          <w:rFonts w:ascii="Verdana" w:hAnsi="Verdana"/>
          <w:sz w:val="18"/>
          <w:szCs w:val="18"/>
        </w:rPr>
        <w:t>ocietà ai sensi del D</w:t>
      </w:r>
      <w:r w:rsidR="00014B68" w:rsidRPr="00DA23C5">
        <w:rPr>
          <w:rFonts w:ascii="Verdana" w:hAnsi="Verdana"/>
          <w:sz w:val="18"/>
          <w:szCs w:val="18"/>
        </w:rPr>
        <w:t xml:space="preserve">. </w:t>
      </w:r>
      <w:proofErr w:type="spellStart"/>
      <w:r w:rsidRPr="00DA23C5">
        <w:rPr>
          <w:rFonts w:ascii="Verdana" w:hAnsi="Verdana"/>
          <w:sz w:val="18"/>
          <w:szCs w:val="18"/>
        </w:rPr>
        <w:t>Lgs</w:t>
      </w:r>
      <w:proofErr w:type="spellEnd"/>
      <w:r w:rsidR="00014B68" w:rsidRPr="00DA23C5">
        <w:rPr>
          <w:rFonts w:ascii="Verdana" w:hAnsi="Verdana"/>
          <w:sz w:val="18"/>
          <w:szCs w:val="18"/>
        </w:rPr>
        <w:t>.</w:t>
      </w:r>
      <w:r w:rsidRPr="00DA23C5">
        <w:rPr>
          <w:rFonts w:ascii="Verdana" w:hAnsi="Verdana"/>
          <w:sz w:val="18"/>
          <w:szCs w:val="18"/>
        </w:rPr>
        <w:t xml:space="preserve"> 175/2016, in particolare: art</w:t>
      </w:r>
      <w:r w:rsidR="00014B68" w:rsidRPr="00DA23C5">
        <w:rPr>
          <w:rFonts w:ascii="Verdana" w:hAnsi="Verdana"/>
          <w:sz w:val="18"/>
          <w:szCs w:val="18"/>
        </w:rPr>
        <w:t>.</w:t>
      </w:r>
      <w:r w:rsidRPr="00DA23C5">
        <w:rPr>
          <w:rFonts w:ascii="Verdana" w:hAnsi="Verdana"/>
          <w:sz w:val="18"/>
          <w:szCs w:val="18"/>
        </w:rPr>
        <w:t xml:space="preserve"> 6 “</w:t>
      </w:r>
      <w:r w:rsidRPr="00DA23C5">
        <w:rPr>
          <w:rFonts w:ascii="Verdana" w:hAnsi="Verdana"/>
          <w:i/>
          <w:sz w:val="18"/>
          <w:szCs w:val="18"/>
        </w:rPr>
        <w:t>principi fondamentali sull’organizzazione e sulla gestione delle società a controllo pubblico</w:t>
      </w:r>
      <w:r w:rsidRPr="00DA23C5">
        <w:rPr>
          <w:rFonts w:ascii="Verdana" w:hAnsi="Verdana"/>
          <w:sz w:val="18"/>
          <w:szCs w:val="18"/>
        </w:rPr>
        <w:t>”, art.</w:t>
      </w:r>
      <w:r w:rsidR="00014B68" w:rsidRPr="00DA23C5">
        <w:rPr>
          <w:rFonts w:ascii="Verdana" w:hAnsi="Verdana"/>
          <w:sz w:val="18"/>
          <w:szCs w:val="18"/>
        </w:rPr>
        <w:t xml:space="preserve"> </w:t>
      </w:r>
      <w:r w:rsidRPr="00DA23C5">
        <w:rPr>
          <w:rFonts w:ascii="Verdana" w:hAnsi="Verdana"/>
          <w:sz w:val="18"/>
          <w:szCs w:val="18"/>
        </w:rPr>
        <w:t xml:space="preserve">11 </w:t>
      </w:r>
      <w:r w:rsidRPr="00DA23C5">
        <w:rPr>
          <w:rFonts w:ascii="Verdana" w:hAnsi="Verdana"/>
          <w:i/>
          <w:sz w:val="18"/>
          <w:szCs w:val="18"/>
        </w:rPr>
        <w:t>organi amministrativi e di controllo delle società a controllo pubblico</w:t>
      </w:r>
      <w:r w:rsidRPr="00DA23C5">
        <w:rPr>
          <w:rFonts w:ascii="Verdana" w:hAnsi="Verdana"/>
          <w:sz w:val="18"/>
          <w:szCs w:val="18"/>
        </w:rPr>
        <w:t>, art.</w:t>
      </w:r>
      <w:r w:rsidR="00014B68" w:rsidRPr="00DA23C5">
        <w:rPr>
          <w:rFonts w:ascii="Verdana" w:hAnsi="Verdana"/>
          <w:sz w:val="18"/>
          <w:szCs w:val="18"/>
        </w:rPr>
        <w:t xml:space="preserve"> </w:t>
      </w:r>
      <w:r w:rsidRPr="00DA23C5">
        <w:rPr>
          <w:rFonts w:ascii="Verdana" w:hAnsi="Verdana"/>
          <w:sz w:val="18"/>
          <w:szCs w:val="18"/>
        </w:rPr>
        <w:t xml:space="preserve">15 </w:t>
      </w:r>
      <w:r w:rsidRPr="00DA23C5">
        <w:rPr>
          <w:rFonts w:ascii="Verdana" w:hAnsi="Verdana"/>
          <w:i/>
          <w:sz w:val="18"/>
          <w:szCs w:val="18"/>
        </w:rPr>
        <w:t>monitoraggio sulle società a partecipazione pubblica</w:t>
      </w:r>
      <w:r w:rsidRPr="00DA23C5">
        <w:rPr>
          <w:rFonts w:ascii="Verdana" w:hAnsi="Verdana"/>
          <w:sz w:val="18"/>
          <w:szCs w:val="18"/>
        </w:rPr>
        <w:t xml:space="preserve">, art.16 </w:t>
      </w:r>
      <w:r w:rsidRPr="00DA23C5">
        <w:rPr>
          <w:rFonts w:ascii="Verdana" w:hAnsi="Verdana"/>
          <w:i/>
          <w:sz w:val="18"/>
          <w:szCs w:val="18"/>
        </w:rPr>
        <w:t xml:space="preserve">società in </w:t>
      </w:r>
      <w:proofErr w:type="spellStart"/>
      <w:r w:rsidRPr="00DA23C5">
        <w:rPr>
          <w:rFonts w:ascii="Verdana" w:hAnsi="Verdana"/>
          <w:i/>
          <w:sz w:val="18"/>
          <w:szCs w:val="18"/>
        </w:rPr>
        <w:t>house</w:t>
      </w:r>
      <w:proofErr w:type="spellEnd"/>
      <w:r w:rsidRPr="00DA23C5">
        <w:rPr>
          <w:rFonts w:ascii="Verdana" w:hAnsi="Verdana"/>
          <w:sz w:val="18"/>
          <w:szCs w:val="18"/>
        </w:rPr>
        <w:t>, art</w:t>
      </w:r>
      <w:r w:rsidR="00014B68" w:rsidRPr="00DA23C5">
        <w:rPr>
          <w:rFonts w:ascii="Verdana" w:hAnsi="Verdana"/>
          <w:sz w:val="18"/>
          <w:szCs w:val="18"/>
        </w:rPr>
        <w:t>.</w:t>
      </w:r>
      <w:r w:rsidRPr="00DA23C5">
        <w:rPr>
          <w:rFonts w:ascii="Verdana" w:hAnsi="Verdana"/>
          <w:sz w:val="18"/>
          <w:szCs w:val="18"/>
        </w:rPr>
        <w:t xml:space="preserve"> 19 </w:t>
      </w:r>
      <w:r w:rsidRPr="00DA23C5">
        <w:rPr>
          <w:rFonts w:ascii="Verdana" w:hAnsi="Verdana"/>
          <w:i/>
          <w:sz w:val="18"/>
          <w:szCs w:val="18"/>
        </w:rPr>
        <w:t>gestione del personale</w:t>
      </w:r>
      <w:r w:rsidRPr="00DA23C5">
        <w:rPr>
          <w:rFonts w:ascii="Verdana" w:hAnsi="Verdana"/>
          <w:sz w:val="18"/>
          <w:szCs w:val="18"/>
        </w:rPr>
        <w:t>, art</w:t>
      </w:r>
      <w:r w:rsidR="00014B68" w:rsidRPr="00DA23C5">
        <w:rPr>
          <w:rFonts w:ascii="Verdana" w:hAnsi="Verdana"/>
          <w:sz w:val="18"/>
          <w:szCs w:val="18"/>
        </w:rPr>
        <w:t>.</w:t>
      </w:r>
      <w:r w:rsidRPr="00DA23C5">
        <w:rPr>
          <w:rFonts w:ascii="Verdana" w:hAnsi="Verdana"/>
          <w:sz w:val="18"/>
          <w:szCs w:val="18"/>
        </w:rPr>
        <w:t xml:space="preserve"> 25 </w:t>
      </w:r>
      <w:r w:rsidRPr="00DA23C5">
        <w:rPr>
          <w:rFonts w:ascii="Verdana" w:hAnsi="Verdana"/>
          <w:i/>
          <w:sz w:val="18"/>
          <w:szCs w:val="18"/>
        </w:rPr>
        <w:t>disposizioni transitorie in materia di personale</w:t>
      </w:r>
      <w:r w:rsidRPr="00DA23C5">
        <w:rPr>
          <w:rFonts w:ascii="Verdana" w:hAnsi="Verdana"/>
          <w:sz w:val="18"/>
          <w:szCs w:val="18"/>
        </w:rPr>
        <w:t xml:space="preserve">. </w:t>
      </w:r>
    </w:p>
    <w:p w:rsidR="00C65D0B" w:rsidRPr="00DA23C5" w:rsidRDefault="00C65D0B" w:rsidP="00071495">
      <w:pPr>
        <w:numPr>
          <w:ilvl w:val="0"/>
          <w:numId w:val="1"/>
        </w:numPr>
        <w:ind w:left="720"/>
        <w:jc w:val="both"/>
        <w:rPr>
          <w:rFonts w:ascii="Verdana" w:hAnsi="Verdana"/>
          <w:b/>
          <w:sz w:val="18"/>
          <w:szCs w:val="18"/>
        </w:rPr>
      </w:pPr>
      <w:r w:rsidRPr="00DA23C5">
        <w:rPr>
          <w:rFonts w:ascii="Verdana" w:hAnsi="Verdana"/>
          <w:b/>
          <w:sz w:val="18"/>
          <w:szCs w:val="18"/>
        </w:rPr>
        <w:t>Art. 6 “</w:t>
      </w:r>
      <w:r w:rsidRPr="00DA23C5">
        <w:rPr>
          <w:rFonts w:ascii="Verdana" w:hAnsi="Verdana"/>
          <w:b/>
          <w:i/>
          <w:sz w:val="18"/>
          <w:szCs w:val="18"/>
        </w:rPr>
        <w:t>principi fondamentali sull’organizzazione e sulla gestione delle società a controllo pubblico</w:t>
      </w:r>
      <w:r w:rsidRPr="00DA23C5">
        <w:rPr>
          <w:rFonts w:ascii="Verdana" w:hAnsi="Verdana"/>
          <w:b/>
          <w:sz w:val="18"/>
          <w:szCs w:val="18"/>
        </w:rPr>
        <w:t xml:space="preserve">”  </w:t>
      </w:r>
    </w:p>
    <w:p w:rsidR="00407873" w:rsidRPr="00DA23C5" w:rsidRDefault="00407873" w:rsidP="00071495">
      <w:pPr>
        <w:jc w:val="both"/>
        <w:rPr>
          <w:rFonts w:ascii="Verdana" w:hAnsi="Verdana"/>
          <w:b/>
          <w:color w:val="FF0000"/>
          <w:sz w:val="18"/>
          <w:szCs w:val="18"/>
        </w:rPr>
      </w:pPr>
      <w:r w:rsidRPr="00DA23C5">
        <w:rPr>
          <w:rFonts w:ascii="Verdana" w:hAnsi="Verdana"/>
          <w:b/>
          <w:sz w:val="18"/>
          <w:szCs w:val="18"/>
        </w:rPr>
        <w:t xml:space="preserve">1.a La prevenzione del rischio di crisi aziendale (comma 2) </w:t>
      </w:r>
    </w:p>
    <w:p w:rsidR="001D1212" w:rsidRPr="00DA23C5" w:rsidRDefault="001D1212" w:rsidP="001D1212">
      <w:pPr>
        <w:jc w:val="both"/>
        <w:rPr>
          <w:rFonts w:ascii="Verdana" w:hAnsi="Verdana"/>
          <w:sz w:val="18"/>
          <w:szCs w:val="18"/>
          <w:lang w:eastAsia="en-US"/>
        </w:rPr>
      </w:pPr>
      <w:r w:rsidRPr="00DA23C5">
        <w:rPr>
          <w:rFonts w:ascii="Verdana" w:hAnsi="Verdana"/>
          <w:sz w:val="18"/>
          <w:szCs w:val="18"/>
          <w:lang w:eastAsia="en-US"/>
        </w:rPr>
        <w:t xml:space="preserve">Con effetto dal 2017 la Società ha adottato uno specifico </w:t>
      </w:r>
      <w:r w:rsidRPr="00DA23C5">
        <w:rPr>
          <w:rFonts w:ascii="Verdana" w:hAnsi="Verdana" w:cs="Arial"/>
          <w:b/>
          <w:sz w:val="18"/>
          <w:szCs w:val="18"/>
        </w:rPr>
        <w:t xml:space="preserve">Regolamento per la misurazione e la gestione del rischio di crisi aziendale </w:t>
      </w:r>
      <w:r w:rsidRPr="00DA23C5">
        <w:rPr>
          <w:rFonts w:ascii="Verdana" w:hAnsi="Verdana" w:cs="Arial"/>
          <w:sz w:val="18"/>
          <w:szCs w:val="18"/>
        </w:rPr>
        <w:t xml:space="preserve">sia </w:t>
      </w:r>
      <w:r w:rsidRPr="00DA23C5">
        <w:rPr>
          <w:rFonts w:ascii="Verdana" w:hAnsi="Verdana"/>
          <w:sz w:val="18"/>
          <w:szCs w:val="18"/>
          <w:lang w:eastAsia="en-US"/>
        </w:rPr>
        <w:t xml:space="preserve">al fine di declinare in modo più puntuale quanto richiesto dall’aggiornato quadro normativo di riferimento - </w:t>
      </w:r>
      <w:r w:rsidRPr="00DA23C5">
        <w:rPr>
          <w:rFonts w:ascii="Verdana" w:hAnsi="Verdana"/>
          <w:sz w:val="18"/>
          <w:szCs w:val="18"/>
        </w:rPr>
        <w:t xml:space="preserve">art. 6 commi 2 e 4 del </w:t>
      </w:r>
      <w:proofErr w:type="spellStart"/>
      <w:r w:rsidRPr="00DA23C5">
        <w:rPr>
          <w:rFonts w:ascii="Verdana" w:hAnsi="Verdana"/>
          <w:sz w:val="18"/>
          <w:szCs w:val="18"/>
        </w:rPr>
        <w:t>D.Lgs.</w:t>
      </w:r>
      <w:proofErr w:type="spellEnd"/>
      <w:r w:rsidRPr="00DA23C5">
        <w:rPr>
          <w:rFonts w:ascii="Verdana" w:hAnsi="Verdana"/>
          <w:sz w:val="18"/>
          <w:szCs w:val="18"/>
        </w:rPr>
        <w:t xml:space="preserve"> 175 - </w:t>
      </w:r>
      <w:r w:rsidRPr="00DA23C5">
        <w:rPr>
          <w:rFonts w:ascii="Verdana" w:hAnsi="Verdana"/>
          <w:sz w:val="18"/>
          <w:szCs w:val="18"/>
          <w:lang w:eastAsia="en-US"/>
        </w:rPr>
        <w:t xml:space="preserve">sia per dare attuazione a un obiettivo assegnato dai soci di rendere </w:t>
      </w:r>
      <w:r w:rsidRPr="00DA23C5">
        <w:rPr>
          <w:rFonts w:ascii="Verdana" w:hAnsi="Verdana"/>
          <w:sz w:val="18"/>
          <w:szCs w:val="18"/>
        </w:rPr>
        <w:t>più strutturata l’attività di monitoraggio del rischio di crisi aziendale implementando un vero e proprio sistema “quantitativo” di valutazione del rischio. Il</w:t>
      </w:r>
      <w:r w:rsidRPr="00DA23C5">
        <w:rPr>
          <w:rFonts w:ascii="Verdana" w:hAnsi="Verdana"/>
          <w:sz w:val="18"/>
          <w:szCs w:val="18"/>
          <w:lang w:eastAsia="en-US"/>
        </w:rPr>
        <w:t xml:space="preserve"> Regolamento definisce il “programma di misurazione del rischio di crisi aziendale” quale strumento idoneo e adeguato a prevenire potenziali rischi patrimoniali, finanziari ed economici, e quindi possibili danni, in capo alla società e ai suoi soci; sono inoltre individuate specifiche responsabilità in merito alle rilevazioni degli indicatori e alla loro trasmissione agli organi competenti (definendo modalità, tempistiche, strumenti di comunicazione, ecc.).</w:t>
      </w:r>
    </w:p>
    <w:p w:rsidR="001D1212" w:rsidRPr="00DA23C5" w:rsidRDefault="001D1212" w:rsidP="001D1212">
      <w:pPr>
        <w:ind w:firstLine="708"/>
        <w:jc w:val="both"/>
        <w:rPr>
          <w:rFonts w:ascii="Verdana" w:hAnsi="Verdana"/>
          <w:sz w:val="18"/>
          <w:szCs w:val="18"/>
        </w:rPr>
      </w:pPr>
      <w:r w:rsidRPr="00DA23C5">
        <w:rPr>
          <w:rFonts w:ascii="Verdana" w:hAnsi="Verdana"/>
          <w:sz w:val="18"/>
          <w:szCs w:val="18"/>
          <w:lang w:eastAsia="en-US"/>
        </w:rPr>
        <w:t xml:space="preserve">La legge delega 155/2017, nota anche come “riforma fallimentare” troverà completa attuazione attraverso specifici decreti delegati; il nuovo assetto normativo introduce nell’ordinamento innovazioni sostanziali in materia di crisi d’impresa e insolvenza, </w:t>
      </w:r>
      <w:r w:rsidRPr="00DA23C5">
        <w:rPr>
          <w:rFonts w:ascii="Verdana" w:hAnsi="Verdana"/>
          <w:sz w:val="18"/>
          <w:szCs w:val="18"/>
        </w:rPr>
        <w:t xml:space="preserve">il 14 febbraio 2019 è stato pubblicato in GU il </w:t>
      </w:r>
      <w:proofErr w:type="spellStart"/>
      <w:r w:rsidRPr="00DA23C5">
        <w:rPr>
          <w:rFonts w:ascii="Verdana" w:hAnsi="Verdana"/>
          <w:b/>
          <w:sz w:val="18"/>
          <w:szCs w:val="18"/>
        </w:rPr>
        <w:t>D.Lgs</w:t>
      </w:r>
      <w:proofErr w:type="spellEnd"/>
      <w:r w:rsidRPr="00DA23C5">
        <w:rPr>
          <w:rFonts w:ascii="Verdana" w:hAnsi="Verdana"/>
          <w:b/>
          <w:sz w:val="18"/>
          <w:szCs w:val="18"/>
        </w:rPr>
        <w:t xml:space="preserve"> 14/2019 </w:t>
      </w:r>
      <w:r w:rsidRPr="00DA23C5">
        <w:rPr>
          <w:rFonts w:ascii="Verdana" w:hAnsi="Verdana"/>
          <w:sz w:val="18"/>
          <w:szCs w:val="18"/>
        </w:rPr>
        <w:t>che contiene il “</w:t>
      </w:r>
      <w:r w:rsidRPr="00DA23C5">
        <w:rPr>
          <w:rFonts w:ascii="Verdana" w:hAnsi="Verdana"/>
          <w:b/>
          <w:sz w:val="18"/>
          <w:szCs w:val="18"/>
        </w:rPr>
        <w:t>Codice della crisi d’impresa e dell’insolenza</w:t>
      </w:r>
      <w:r w:rsidRPr="00DA23C5">
        <w:rPr>
          <w:rFonts w:ascii="Verdana" w:hAnsi="Verdana"/>
          <w:sz w:val="18"/>
          <w:szCs w:val="18"/>
        </w:rPr>
        <w:t xml:space="preserve">”. La riforma entrerà in vigore in più </w:t>
      </w:r>
      <w:proofErr w:type="spellStart"/>
      <w:r w:rsidRPr="00DA23C5">
        <w:rPr>
          <w:rFonts w:ascii="Verdana" w:hAnsi="Verdana"/>
          <w:sz w:val="18"/>
          <w:szCs w:val="18"/>
        </w:rPr>
        <w:t>steps</w:t>
      </w:r>
      <w:proofErr w:type="spellEnd"/>
      <w:r w:rsidRPr="00DA23C5">
        <w:rPr>
          <w:rFonts w:ascii="Verdana" w:hAnsi="Verdana"/>
          <w:sz w:val="18"/>
          <w:szCs w:val="18"/>
        </w:rPr>
        <w:t xml:space="preserve">, tuttavia causa emergenza covid-19 tutte le tempistiche previste hanno subito ripetuti rinvii. </w:t>
      </w:r>
    </w:p>
    <w:p w:rsidR="001D1212" w:rsidRPr="00DA23C5" w:rsidRDefault="001D1212" w:rsidP="001D1212">
      <w:pPr>
        <w:ind w:firstLine="708"/>
        <w:jc w:val="both"/>
        <w:rPr>
          <w:rFonts w:ascii="Verdana" w:hAnsi="Verdana"/>
          <w:sz w:val="18"/>
          <w:szCs w:val="18"/>
        </w:rPr>
      </w:pPr>
      <w:r w:rsidRPr="00DA23C5">
        <w:rPr>
          <w:rFonts w:ascii="Verdana" w:hAnsi="Verdana"/>
          <w:bCs/>
          <w:sz w:val="18"/>
          <w:szCs w:val="18"/>
        </w:rPr>
        <w:t>A distanza di quasi due anni dai tempi inizialmente previsti, il 15/7/2022 è entrato in vigore il Codice della crisi d’impresa e dell’insolvenza (</w:t>
      </w:r>
      <w:proofErr w:type="spellStart"/>
      <w:r w:rsidRPr="00DA23C5">
        <w:rPr>
          <w:rFonts w:ascii="Verdana" w:hAnsi="Verdana"/>
          <w:bCs/>
          <w:sz w:val="18"/>
          <w:szCs w:val="18"/>
        </w:rPr>
        <w:t>Ccii</w:t>
      </w:r>
      <w:proofErr w:type="spellEnd"/>
      <w:r w:rsidRPr="00DA23C5">
        <w:rPr>
          <w:rFonts w:ascii="Verdana" w:hAnsi="Verdana"/>
          <w:bCs/>
          <w:sz w:val="18"/>
          <w:szCs w:val="18"/>
        </w:rPr>
        <w:t xml:space="preserve">); il legislatore con il </w:t>
      </w:r>
      <w:proofErr w:type="spellStart"/>
      <w:r w:rsidRPr="00DA23C5">
        <w:rPr>
          <w:rFonts w:ascii="Verdana" w:hAnsi="Verdana"/>
          <w:bCs/>
          <w:sz w:val="18"/>
          <w:szCs w:val="18"/>
        </w:rPr>
        <w:t>Dlgs</w:t>
      </w:r>
      <w:proofErr w:type="spellEnd"/>
      <w:r w:rsidRPr="00DA23C5">
        <w:rPr>
          <w:rFonts w:ascii="Verdana" w:hAnsi="Verdana"/>
          <w:bCs/>
          <w:sz w:val="18"/>
          <w:szCs w:val="18"/>
        </w:rPr>
        <w:t xml:space="preserve"> 83/2022 </w:t>
      </w:r>
      <w:r w:rsidRPr="00DA23C5">
        <w:rPr>
          <w:rFonts w:ascii="Verdana" w:hAnsi="Verdana"/>
          <w:i/>
          <w:sz w:val="18"/>
          <w:szCs w:val="18"/>
        </w:rPr>
        <w:t>“Modifiche al codice della crisi d'impresa e dell'insolvenza di cui al decreto legislativo 12 gennaio 2019, n. 14, in attuazione della direttiva (UE) 2019/1023 del Parlamento europeo e del Consiglio del 20 giugno 2019, riguardante i quadri di ristrutturazione preventiva, l'</w:t>
      </w:r>
      <w:proofErr w:type="spellStart"/>
      <w:r w:rsidRPr="00DA23C5">
        <w:rPr>
          <w:rFonts w:ascii="Verdana" w:hAnsi="Verdana"/>
          <w:i/>
          <w:sz w:val="18"/>
          <w:szCs w:val="18"/>
        </w:rPr>
        <w:t>esdebitazione</w:t>
      </w:r>
      <w:proofErr w:type="spellEnd"/>
      <w:r w:rsidRPr="00DA23C5">
        <w:rPr>
          <w:rFonts w:ascii="Verdana" w:hAnsi="Verdana"/>
          <w:i/>
          <w:sz w:val="18"/>
          <w:szCs w:val="18"/>
        </w:rPr>
        <w:t xml:space="preserve"> e le interdizioni, e le misure volte ad aumentare l'efficacia delle procedure di ristrutturazione, insolvenza ed </w:t>
      </w:r>
      <w:proofErr w:type="spellStart"/>
      <w:r w:rsidRPr="00DA23C5">
        <w:rPr>
          <w:rFonts w:ascii="Verdana" w:hAnsi="Verdana"/>
          <w:i/>
          <w:sz w:val="18"/>
          <w:szCs w:val="18"/>
        </w:rPr>
        <w:t>esdebitazione</w:t>
      </w:r>
      <w:proofErr w:type="spellEnd"/>
      <w:r w:rsidRPr="00DA23C5">
        <w:rPr>
          <w:rFonts w:ascii="Verdana" w:hAnsi="Verdana"/>
          <w:i/>
          <w:sz w:val="18"/>
          <w:szCs w:val="18"/>
        </w:rPr>
        <w:t xml:space="preserve">, e che modifica la direttiva (UE) 2017/1132 (direttiva sulla ristrutturazione e sull'insolvenza)”, </w:t>
      </w:r>
      <w:r w:rsidRPr="00DA23C5">
        <w:rPr>
          <w:rFonts w:ascii="Verdana" w:hAnsi="Verdana"/>
          <w:sz w:val="18"/>
          <w:szCs w:val="18"/>
        </w:rPr>
        <w:t xml:space="preserve">ha recepito la direttiva europea </w:t>
      </w:r>
      <w:proofErr w:type="spellStart"/>
      <w:r w:rsidRPr="00DA23C5">
        <w:rPr>
          <w:rFonts w:ascii="Verdana" w:hAnsi="Verdana"/>
          <w:sz w:val="18"/>
          <w:szCs w:val="18"/>
        </w:rPr>
        <w:t>Insolvency</w:t>
      </w:r>
      <w:proofErr w:type="spellEnd"/>
      <w:r w:rsidRPr="00DA23C5">
        <w:rPr>
          <w:rFonts w:ascii="Verdana" w:hAnsi="Verdana"/>
          <w:sz w:val="18"/>
          <w:szCs w:val="18"/>
        </w:rPr>
        <w:t xml:space="preserve"> e il Ministero della Giustizia con il Dm 75/2022 ha istituito l’Albo dei gestori della crisi; per la parte relativa alle misure di allerta è stato disposto un rinvio al 31/12/2023 (trattasi di uno degli elementi più innovativi del Codice ma che pone una serie di problematiche in una fase economica segnata sia da una faticosa </w:t>
      </w:r>
      <w:proofErr w:type="spellStart"/>
      <w:r w:rsidRPr="00DA23C5">
        <w:rPr>
          <w:rFonts w:ascii="Verdana" w:hAnsi="Verdana"/>
          <w:sz w:val="18"/>
          <w:szCs w:val="18"/>
        </w:rPr>
        <w:t>uscita</w:t>
      </w:r>
      <w:proofErr w:type="spellEnd"/>
      <w:r w:rsidRPr="00DA23C5">
        <w:rPr>
          <w:rFonts w:ascii="Verdana" w:hAnsi="Verdana"/>
          <w:sz w:val="18"/>
          <w:szCs w:val="18"/>
        </w:rPr>
        <w:t xml:space="preserve"> dall’emergenza sanitaria che dalle conseguenza della guerra in </w:t>
      </w:r>
      <w:proofErr w:type="spellStart"/>
      <w:r w:rsidRPr="00DA23C5">
        <w:rPr>
          <w:rFonts w:ascii="Verdana" w:hAnsi="Verdana"/>
          <w:sz w:val="18"/>
          <w:szCs w:val="18"/>
        </w:rPr>
        <w:t>Ucrainia</w:t>
      </w:r>
      <w:proofErr w:type="spellEnd"/>
      <w:r w:rsidRPr="00DA23C5">
        <w:rPr>
          <w:rFonts w:ascii="Verdana" w:hAnsi="Verdana"/>
          <w:sz w:val="18"/>
          <w:szCs w:val="18"/>
        </w:rPr>
        <w:t>).</w:t>
      </w:r>
    </w:p>
    <w:p w:rsidR="001D1212" w:rsidRPr="00DA23C5" w:rsidRDefault="001D1212" w:rsidP="001D1212">
      <w:pPr>
        <w:jc w:val="both"/>
        <w:rPr>
          <w:rFonts w:ascii="Verdana" w:hAnsi="Verdana"/>
          <w:sz w:val="18"/>
          <w:szCs w:val="18"/>
          <w:lang w:eastAsia="en-US"/>
        </w:rPr>
      </w:pPr>
      <w:r w:rsidRPr="00DA23C5">
        <w:rPr>
          <w:rFonts w:ascii="Verdana" w:hAnsi="Verdana"/>
          <w:sz w:val="18"/>
          <w:szCs w:val="18"/>
          <w:lang w:eastAsia="en-US"/>
        </w:rPr>
        <w:t xml:space="preserve">Il costante monitoraggio degli indicatori individuati dalla nuova normativa per prevenire lo stato di crisi aziendale, o perlomeno anticiparne l’aggravamento in uno stadio in cui la situazione sia ancora recuperabile, sono di fatto gli stessi già anticipati dall’art. 6 del D.lgs. 175 per le società a controllo pubblico. </w:t>
      </w:r>
    </w:p>
    <w:p w:rsidR="001D1212" w:rsidRPr="00DA23C5" w:rsidRDefault="001D1212" w:rsidP="001D1212">
      <w:pPr>
        <w:jc w:val="both"/>
        <w:rPr>
          <w:rFonts w:ascii="Verdana" w:hAnsi="Verdana"/>
          <w:sz w:val="18"/>
          <w:szCs w:val="18"/>
          <w:lang w:eastAsia="en-US"/>
        </w:rPr>
      </w:pPr>
      <w:r w:rsidRPr="00DA23C5">
        <w:rPr>
          <w:rFonts w:ascii="Verdana" w:hAnsi="Verdana"/>
          <w:sz w:val="18"/>
          <w:szCs w:val="18"/>
          <w:lang w:eastAsia="en-US"/>
        </w:rPr>
        <w:t xml:space="preserve">Quanto richiesto dal </w:t>
      </w:r>
      <w:proofErr w:type="spellStart"/>
      <w:r w:rsidRPr="00DA23C5">
        <w:rPr>
          <w:rFonts w:ascii="Verdana" w:hAnsi="Verdana"/>
          <w:sz w:val="18"/>
          <w:szCs w:val="18"/>
        </w:rPr>
        <w:t>D.Lgs</w:t>
      </w:r>
      <w:proofErr w:type="spellEnd"/>
      <w:r w:rsidRPr="00DA23C5">
        <w:rPr>
          <w:rFonts w:ascii="Verdana" w:hAnsi="Verdana"/>
          <w:sz w:val="18"/>
          <w:szCs w:val="18"/>
        </w:rPr>
        <w:t xml:space="preserve"> 14/2019 (per tutte le società) e </w:t>
      </w:r>
      <w:r w:rsidRPr="00DA23C5">
        <w:rPr>
          <w:rFonts w:ascii="Verdana" w:hAnsi="Verdana"/>
          <w:sz w:val="18"/>
          <w:szCs w:val="18"/>
          <w:lang w:eastAsia="en-US"/>
        </w:rPr>
        <w:t xml:space="preserve">dall’art.6 del </w:t>
      </w:r>
      <w:proofErr w:type="spellStart"/>
      <w:r w:rsidRPr="00DA23C5">
        <w:rPr>
          <w:rFonts w:ascii="Verdana" w:hAnsi="Verdana"/>
          <w:sz w:val="18"/>
          <w:szCs w:val="18"/>
          <w:lang w:eastAsia="en-US"/>
        </w:rPr>
        <w:t>Dlgs</w:t>
      </w:r>
      <w:proofErr w:type="spellEnd"/>
      <w:r w:rsidRPr="00DA23C5">
        <w:rPr>
          <w:rFonts w:ascii="Verdana" w:hAnsi="Verdana"/>
          <w:sz w:val="18"/>
          <w:szCs w:val="18"/>
          <w:lang w:eastAsia="en-US"/>
        </w:rPr>
        <w:t xml:space="preserve"> 175 (per le società a controllo pubblico) </w:t>
      </w:r>
      <w:r w:rsidRPr="00DA23C5">
        <w:rPr>
          <w:rFonts w:ascii="Verdana" w:hAnsi="Verdana"/>
          <w:sz w:val="18"/>
          <w:szCs w:val="18"/>
        </w:rPr>
        <w:t>è nella sostanza equivalente.</w:t>
      </w:r>
      <w:r w:rsidRPr="00DA23C5">
        <w:rPr>
          <w:rFonts w:ascii="Verdana" w:hAnsi="Verdana"/>
          <w:sz w:val="18"/>
          <w:szCs w:val="18"/>
          <w:lang w:eastAsia="en-US"/>
        </w:rPr>
        <w:t xml:space="preserve"> </w:t>
      </w:r>
    </w:p>
    <w:p w:rsidR="001D1212" w:rsidRPr="00DA23C5" w:rsidRDefault="001D1212" w:rsidP="001D1212">
      <w:pPr>
        <w:jc w:val="both"/>
        <w:rPr>
          <w:rFonts w:ascii="Verdana" w:hAnsi="Verdana"/>
          <w:sz w:val="18"/>
          <w:szCs w:val="18"/>
        </w:rPr>
      </w:pPr>
      <w:r w:rsidRPr="00DA23C5">
        <w:rPr>
          <w:rFonts w:ascii="Verdana" w:hAnsi="Verdana"/>
          <w:sz w:val="18"/>
          <w:szCs w:val="18"/>
        </w:rPr>
        <w:t xml:space="preserve">Con delibera n. 135/2019 il </w:t>
      </w:r>
      <w:proofErr w:type="spellStart"/>
      <w:r w:rsidRPr="00DA23C5">
        <w:rPr>
          <w:rFonts w:ascii="Verdana" w:hAnsi="Verdana"/>
          <w:sz w:val="18"/>
          <w:szCs w:val="18"/>
        </w:rPr>
        <w:t>CdA</w:t>
      </w:r>
      <w:proofErr w:type="spellEnd"/>
      <w:r w:rsidRPr="00DA23C5">
        <w:rPr>
          <w:rFonts w:ascii="Verdana" w:hAnsi="Verdana"/>
          <w:sz w:val="18"/>
          <w:szCs w:val="18"/>
        </w:rPr>
        <w:t xml:space="preserve"> ha adottato il </w:t>
      </w:r>
      <w:r w:rsidRPr="00DA23C5">
        <w:rPr>
          <w:rFonts w:ascii="Verdana" w:hAnsi="Verdana"/>
          <w:i/>
          <w:sz w:val="18"/>
          <w:szCs w:val="18"/>
        </w:rPr>
        <w:t xml:space="preserve">“Regolamento per prevenire la crisi d’impresa </w:t>
      </w:r>
      <w:proofErr w:type="spellStart"/>
      <w:r w:rsidRPr="00DA23C5">
        <w:rPr>
          <w:rFonts w:ascii="Verdana" w:hAnsi="Verdana"/>
          <w:i/>
          <w:sz w:val="18"/>
          <w:szCs w:val="18"/>
        </w:rPr>
        <w:t>D.Lgs.</w:t>
      </w:r>
      <w:proofErr w:type="spellEnd"/>
      <w:r w:rsidRPr="00DA23C5">
        <w:rPr>
          <w:rFonts w:ascii="Verdana" w:hAnsi="Verdana"/>
          <w:i/>
          <w:sz w:val="18"/>
          <w:szCs w:val="18"/>
        </w:rPr>
        <w:t xml:space="preserve"> 14/2019: assetto organizzativo e sistema di allerta</w:t>
      </w:r>
      <w:r w:rsidRPr="00DA23C5">
        <w:rPr>
          <w:rFonts w:ascii="Verdana" w:hAnsi="Verdana"/>
          <w:sz w:val="18"/>
          <w:szCs w:val="18"/>
        </w:rPr>
        <w:t xml:space="preserve">” attraverso il quale si evidenzia, </w:t>
      </w:r>
      <w:r w:rsidRPr="00DA23C5">
        <w:rPr>
          <w:rFonts w:ascii="Verdana" w:hAnsi="Verdana" w:cs="Arial"/>
          <w:sz w:val="18"/>
          <w:szCs w:val="18"/>
        </w:rPr>
        <w:t>in relazione alla natura e alle dimensioni aziendali, l’</w:t>
      </w:r>
      <w:r w:rsidRPr="00DA23C5">
        <w:rPr>
          <w:rFonts w:ascii="Verdana" w:hAnsi="Verdana"/>
          <w:bCs/>
          <w:sz w:val="18"/>
          <w:szCs w:val="18"/>
        </w:rPr>
        <w:t xml:space="preserve">adeguatezza dell’assetto organizzativo, </w:t>
      </w:r>
      <w:r w:rsidRPr="00DA23C5">
        <w:rPr>
          <w:rFonts w:ascii="Verdana" w:hAnsi="Verdana" w:cs="Arial"/>
          <w:sz w:val="18"/>
          <w:szCs w:val="18"/>
        </w:rPr>
        <w:t>amministrativo e contabile nel rilevare tempestivamente i segnali della crisi d’impresa e della perdita della continuità aziendale. I</w:t>
      </w:r>
      <w:r w:rsidRPr="00DA23C5">
        <w:rPr>
          <w:rFonts w:ascii="Verdana" w:hAnsi="Verdana"/>
          <w:sz w:val="18"/>
          <w:szCs w:val="18"/>
        </w:rPr>
        <w:t xml:space="preserve">n attuazione di quanto previsto nel Regolamento la società tiene monitorati quegli indici che nella prima bozza redatta dal Consiglio nazionale dei dottori commercialisti (CNDC) sono ritenuti idonei a individuare una “ragionevole presunzione dello stato di crisi”. Secondo il meccanismo individuato dal CNDC è prevista una sequenza gerarchica nei parametri da considerare partendo innanzitutto dalla verifica del </w:t>
      </w:r>
      <w:r w:rsidRPr="00DA23C5">
        <w:rPr>
          <w:rFonts w:ascii="Verdana" w:hAnsi="Verdana"/>
          <w:sz w:val="18"/>
          <w:szCs w:val="18"/>
          <w:u w:val="single"/>
        </w:rPr>
        <w:t>patrimonio netto che deve rimanere positivo</w:t>
      </w:r>
      <w:r w:rsidRPr="00DA23C5">
        <w:rPr>
          <w:rFonts w:ascii="Verdana" w:hAnsi="Verdana"/>
          <w:sz w:val="18"/>
          <w:szCs w:val="18"/>
        </w:rPr>
        <w:t xml:space="preserve"> e  quindi del </w:t>
      </w:r>
      <w:r w:rsidRPr="00DA23C5">
        <w:rPr>
          <w:rFonts w:ascii="Verdana" w:hAnsi="Verdana"/>
          <w:sz w:val="18"/>
          <w:szCs w:val="18"/>
          <w:u w:val="single"/>
        </w:rPr>
        <w:t>flusso di cassa prospettico (almeno 6 mesi di previsione) che deve evidenziare la capacità finanziaria della società di far fronte al rimborso dei debiti</w:t>
      </w:r>
      <w:r w:rsidRPr="00DA23C5">
        <w:rPr>
          <w:rFonts w:ascii="Verdana" w:hAnsi="Verdana"/>
          <w:sz w:val="18"/>
          <w:szCs w:val="18"/>
        </w:rPr>
        <w:t xml:space="preserve"> previsti nello stesso arco temporale; in caso di patrimonio netto negativo e/o  flusso di cassa prospettico non in grado di far fronte al rimborso dei debiti (ma anche in presenza di un flusso di cassa previsionale non ritenuto “qualitativamente” adeguato), sono stati individuati n.5 indici che possono fare ragionevolmente prevedere il manifestarsi di uno stato di crisi dell’impresa; ai n.5 indici sono stati assegnati “valori-soglia di allerta” differenziati per settori di attività. E’ consigliato di considerare significativo il superamento di tutti e cinque gli indici in quanto il superamento di uno solo porterebbe ad una visione parziale e fuorviante. Di seguito gli indici e i relativi “valori- soglia di allerta” per il settore (E) Fornitura acqua, reti fognarie, rifiuti.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653"/>
        <w:gridCol w:w="2118"/>
        <w:gridCol w:w="1657"/>
        <w:gridCol w:w="1670"/>
      </w:tblGrid>
      <w:tr w:rsidR="001D1212" w:rsidRPr="00DA23C5" w:rsidTr="00DA23C5">
        <w:tc>
          <w:tcPr>
            <w:tcW w:w="1760" w:type="dxa"/>
            <w:shd w:val="clear" w:color="auto" w:fill="auto"/>
            <w:vAlign w:val="center"/>
          </w:tcPr>
          <w:p w:rsidR="001D1212" w:rsidRPr="00DA23C5" w:rsidRDefault="001D1212" w:rsidP="00446271">
            <w:pPr>
              <w:jc w:val="center"/>
              <w:rPr>
                <w:rFonts w:ascii="Verdana" w:hAnsi="Verdana"/>
                <w:sz w:val="18"/>
                <w:szCs w:val="18"/>
              </w:rPr>
            </w:pPr>
            <w:proofErr w:type="spellStart"/>
            <w:proofErr w:type="gramStart"/>
            <w:r w:rsidRPr="00DA23C5">
              <w:rPr>
                <w:rFonts w:ascii="Verdana" w:hAnsi="Verdana"/>
                <w:sz w:val="18"/>
                <w:szCs w:val="18"/>
              </w:rPr>
              <w:t>On.finanz</w:t>
            </w:r>
            <w:proofErr w:type="spellEnd"/>
            <w:r w:rsidRPr="00DA23C5">
              <w:rPr>
                <w:rFonts w:ascii="Verdana" w:hAnsi="Verdana"/>
                <w:sz w:val="18"/>
                <w:szCs w:val="18"/>
              </w:rPr>
              <w:t>./</w:t>
            </w:r>
            <w:proofErr w:type="gramEnd"/>
            <w:r w:rsidRPr="00DA23C5">
              <w:rPr>
                <w:rFonts w:ascii="Verdana" w:hAnsi="Verdana"/>
                <w:sz w:val="18"/>
                <w:szCs w:val="18"/>
              </w:rPr>
              <w:t>Ricavi</w:t>
            </w:r>
          </w:p>
        </w:tc>
        <w:tc>
          <w:tcPr>
            <w:tcW w:w="1653" w:type="dxa"/>
            <w:shd w:val="clear" w:color="auto" w:fill="auto"/>
            <w:vAlign w:val="center"/>
          </w:tcPr>
          <w:p w:rsidR="001D1212" w:rsidRPr="00DA23C5" w:rsidRDefault="001D1212" w:rsidP="00446271">
            <w:pPr>
              <w:jc w:val="center"/>
              <w:rPr>
                <w:rFonts w:ascii="Verdana" w:hAnsi="Verdana"/>
                <w:sz w:val="18"/>
                <w:szCs w:val="18"/>
              </w:rPr>
            </w:pPr>
            <w:proofErr w:type="spellStart"/>
            <w:r w:rsidRPr="00DA23C5">
              <w:rPr>
                <w:rFonts w:ascii="Verdana" w:hAnsi="Verdana"/>
                <w:sz w:val="18"/>
                <w:szCs w:val="18"/>
              </w:rPr>
              <w:t>Patr</w:t>
            </w:r>
            <w:proofErr w:type="spellEnd"/>
            <w:r w:rsidRPr="00DA23C5">
              <w:rPr>
                <w:rFonts w:ascii="Verdana" w:hAnsi="Verdana"/>
                <w:sz w:val="18"/>
                <w:szCs w:val="18"/>
              </w:rPr>
              <w:t>. Netto /</w:t>
            </w:r>
            <w:proofErr w:type="spellStart"/>
            <w:r w:rsidRPr="00DA23C5">
              <w:rPr>
                <w:rFonts w:ascii="Verdana" w:hAnsi="Verdana"/>
                <w:sz w:val="18"/>
                <w:szCs w:val="18"/>
              </w:rPr>
              <w:t>tot.debiti</w:t>
            </w:r>
            <w:proofErr w:type="spellEnd"/>
          </w:p>
        </w:tc>
        <w:tc>
          <w:tcPr>
            <w:tcW w:w="2118" w:type="dxa"/>
            <w:shd w:val="clear" w:color="auto" w:fill="auto"/>
            <w:vAlign w:val="center"/>
          </w:tcPr>
          <w:p w:rsidR="001D1212" w:rsidRPr="00DA23C5" w:rsidRDefault="001D1212" w:rsidP="00446271">
            <w:pPr>
              <w:jc w:val="center"/>
              <w:rPr>
                <w:rFonts w:ascii="Verdana" w:hAnsi="Verdana"/>
                <w:sz w:val="18"/>
                <w:szCs w:val="18"/>
              </w:rPr>
            </w:pPr>
            <w:proofErr w:type="spellStart"/>
            <w:r w:rsidRPr="00DA23C5">
              <w:rPr>
                <w:rFonts w:ascii="Verdana" w:hAnsi="Verdana"/>
                <w:sz w:val="18"/>
                <w:szCs w:val="18"/>
              </w:rPr>
              <w:t>Att.breve</w:t>
            </w:r>
            <w:proofErr w:type="spellEnd"/>
            <w:r w:rsidRPr="00DA23C5">
              <w:rPr>
                <w:rFonts w:ascii="Verdana" w:hAnsi="Verdana"/>
                <w:sz w:val="18"/>
                <w:szCs w:val="18"/>
              </w:rPr>
              <w:t>/</w:t>
            </w:r>
            <w:proofErr w:type="spellStart"/>
            <w:r w:rsidRPr="00DA23C5">
              <w:rPr>
                <w:rFonts w:ascii="Verdana" w:hAnsi="Verdana"/>
                <w:sz w:val="18"/>
                <w:szCs w:val="18"/>
              </w:rPr>
              <w:t>Pass.breve</w:t>
            </w:r>
            <w:proofErr w:type="spellEnd"/>
          </w:p>
        </w:tc>
        <w:tc>
          <w:tcPr>
            <w:tcW w:w="1657" w:type="dxa"/>
            <w:shd w:val="clear" w:color="auto" w:fill="auto"/>
            <w:vAlign w:val="center"/>
          </w:tcPr>
          <w:p w:rsidR="001D1212" w:rsidRPr="00DA23C5" w:rsidRDefault="001D1212" w:rsidP="00446271">
            <w:pPr>
              <w:jc w:val="center"/>
              <w:rPr>
                <w:rFonts w:ascii="Verdana" w:hAnsi="Verdana"/>
                <w:sz w:val="18"/>
                <w:szCs w:val="18"/>
              </w:rPr>
            </w:pPr>
            <w:proofErr w:type="gramStart"/>
            <w:r w:rsidRPr="00DA23C5">
              <w:rPr>
                <w:rFonts w:ascii="Verdana" w:hAnsi="Verdana"/>
                <w:sz w:val="18"/>
                <w:szCs w:val="18"/>
              </w:rPr>
              <w:t>cash</w:t>
            </w:r>
            <w:proofErr w:type="gramEnd"/>
            <w:r w:rsidRPr="00DA23C5">
              <w:rPr>
                <w:rFonts w:ascii="Verdana" w:hAnsi="Verdana"/>
                <w:sz w:val="18"/>
                <w:szCs w:val="18"/>
              </w:rPr>
              <w:t xml:space="preserve"> flow/attivo</w:t>
            </w:r>
          </w:p>
        </w:tc>
        <w:tc>
          <w:tcPr>
            <w:tcW w:w="1670" w:type="dxa"/>
            <w:shd w:val="clear" w:color="auto" w:fill="auto"/>
            <w:vAlign w:val="center"/>
          </w:tcPr>
          <w:p w:rsidR="001D1212" w:rsidRPr="00DA23C5" w:rsidRDefault="001D1212" w:rsidP="00446271">
            <w:pPr>
              <w:jc w:val="center"/>
              <w:rPr>
                <w:rFonts w:ascii="Verdana" w:hAnsi="Verdana"/>
                <w:sz w:val="18"/>
                <w:szCs w:val="18"/>
              </w:rPr>
            </w:pPr>
            <w:proofErr w:type="gramStart"/>
            <w:r w:rsidRPr="00DA23C5">
              <w:rPr>
                <w:rFonts w:ascii="Verdana" w:hAnsi="Verdana"/>
                <w:sz w:val="18"/>
                <w:szCs w:val="18"/>
              </w:rPr>
              <w:t>debiti</w:t>
            </w:r>
            <w:proofErr w:type="gramEnd"/>
            <w:r w:rsidRPr="00DA23C5">
              <w:rPr>
                <w:rFonts w:ascii="Verdana" w:hAnsi="Verdana"/>
                <w:sz w:val="18"/>
                <w:szCs w:val="18"/>
              </w:rPr>
              <w:t xml:space="preserve"> </w:t>
            </w:r>
            <w:proofErr w:type="spellStart"/>
            <w:r w:rsidRPr="00DA23C5">
              <w:rPr>
                <w:rFonts w:ascii="Verdana" w:hAnsi="Verdana"/>
                <w:sz w:val="18"/>
                <w:szCs w:val="18"/>
              </w:rPr>
              <w:t>trib.e</w:t>
            </w:r>
            <w:proofErr w:type="spellEnd"/>
            <w:r w:rsidRPr="00DA23C5">
              <w:rPr>
                <w:rFonts w:ascii="Verdana" w:hAnsi="Verdana"/>
                <w:sz w:val="18"/>
                <w:szCs w:val="18"/>
              </w:rPr>
              <w:t xml:space="preserve"> </w:t>
            </w:r>
            <w:proofErr w:type="spellStart"/>
            <w:r w:rsidRPr="00DA23C5">
              <w:rPr>
                <w:rFonts w:ascii="Verdana" w:hAnsi="Verdana"/>
                <w:sz w:val="18"/>
                <w:szCs w:val="18"/>
              </w:rPr>
              <w:t>previd</w:t>
            </w:r>
            <w:proofErr w:type="spellEnd"/>
            <w:r w:rsidRPr="00DA23C5">
              <w:rPr>
                <w:rFonts w:ascii="Verdana" w:hAnsi="Verdana"/>
                <w:sz w:val="18"/>
                <w:szCs w:val="18"/>
              </w:rPr>
              <w:t>/attivo</w:t>
            </w:r>
          </w:p>
        </w:tc>
      </w:tr>
      <w:tr w:rsidR="001D1212" w:rsidRPr="00DA23C5" w:rsidTr="00DA23C5">
        <w:tc>
          <w:tcPr>
            <w:tcW w:w="1760"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2,6%</w:t>
            </w:r>
          </w:p>
        </w:tc>
        <w:tc>
          <w:tcPr>
            <w:tcW w:w="1653"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6,7%</w:t>
            </w:r>
          </w:p>
        </w:tc>
        <w:tc>
          <w:tcPr>
            <w:tcW w:w="2118"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84,2%</w:t>
            </w:r>
          </w:p>
        </w:tc>
        <w:tc>
          <w:tcPr>
            <w:tcW w:w="1657"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1,9%</w:t>
            </w:r>
          </w:p>
        </w:tc>
        <w:tc>
          <w:tcPr>
            <w:tcW w:w="1670"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6,5%</w:t>
            </w:r>
          </w:p>
        </w:tc>
      </w:tr>
    </w:tbl>
    <w:p w:rsidR="001D1212" w:rsidRPr="00DA23C5" w:rsidRDefault="001D1212" w:rsidP="001D1212">
      <w:pPr>
        <w:jc w:val="both"/>
        <w:rPr>
          <w:rFonts w:ascii="Verdana" w:hAnsi="Verdana"/>
          <w:sz w:val="18"/>
          <w:szCs w:val="18"/>
        </w:rPr>
      </w:pPr>
    </w:p>
    <w:p w:rsidR="001D1212" w:rsidRPr="00DA23C5" w:rsidRDefault="001D1212" w:rsidP="001D1212">
      <w:pPr>
        <w:jc w:val="both"/>
        <w:rPr>
          <w:rFonts w:ascii="Verdana" w:hAnsi="Verdana" w:cs="Arial"/>
          <w:sz w:val="18"/>
          <w:szCs w:val="18"/>
        </w:rPr>
      </w:pPr>
      <w:r w:rsidRPr="00DA23C5">
        <w:rPr>
          <w:rFonts w:ascii="Verdana" w:hAnsi="Verdana" w:cs="Arial"/>
          <w:sz w:val="18"/>
          <w:szCs w:val="18"/>
        </w:rPr>
        <w:lastRenderedPageBreak/>
        <w:t>Con effetto dal 2019 ha già trovato compiuta implementazione nei sistemi aziendali quanto previsto nel Regolamento suddetto; si evidenziano i valori degli indici suddetti relativamente agli ultimi tre bilanci di esercizio nei termini di seguito esposti che evidenziano con ampi margini lo “stato di salute” della società.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833"/>
        <w:gridCol w:w="2023"/>
        <w:gridCol w:w="1730"/>
        <w:gridCol w:w="1528"/>
        <w:gridCol w:w="1584"/>
      </w:tblGrid>
      <w:tr w:rsidR="001D1212" w:rsidRPr="00DA23C5" w:rsidTr="00446271">
        <w:tc>
          <w:tcPr>
            <w:tcW w:w="930" w:type="dxa"/>
            <w:shd w:val="clear" w:color="auto" w:fill="auto"/>
          </w:tcPr>
          <w:p w:rsidR="001D1212" w:rsidRPr="00DA23C5" w:rsidRDefault="001D1212" w:rsidP="00446271">
            <w:pPr>
              <w:jc w:val="both"/>
              <w:rPr>
                <w:rFonts w:ascii="Verdana" w:hAnsi="Verdana"/>
                <w:sz w:val="18"/>
                <w:szCs w:val="18"/>
                <w:highlight w:val="cyan"/>
              </w:rPr>
            </w:pPr>
          </w:p>
        </w:tc>
        <w:tc>
          <w:tcPr>
            <w:tcW w:w="1833" w:type="dxa"/>
            <w:shd w:val="clear" w:color="auto" w:fill="auto"/>
            <w:vAlign w:val="center"/>
          </w:tcPr>
          <w:p w:rsidR="001D1212" w:rsidRPr="00DA23C5" w:rsidRDefault="001D1212" w:rsidP="00446271">
            <w:pPr>
              <w:jc w:val="center"/>
              <w:rPr>
                <w:rFonts w:ascii="Verdana" w:hAnsi="Verdana"/>
                <w:sz w:val="18"/>
                <w:szCs w:val="18"/>
              </w:rPr>
            </w:pPr>
            <w:r w:rsidRPr="00DA23C5">
              <w:rPr>
                <w:rFonts w:ascii="Verdana" w:hAnsi="Verdana"/>
                <w:sz w:val="18"/>
                <w:szCs w:val="18"/>
              </w:rPr>
              <w:t xml:space="preserve">On. </w:t>
            </w:r>
            <w:proofErr w:type="spellStart"/>
            <w:r w:rsidRPr="00DA23C5">
              <w:rPr>
                <w:rFonts w:ascii="Verdana" w:hAnsi="Verdana"/>
                <w:sz w:val="18"/>
                <w:szCs w:val="18"/>
              </w:rPr>
              <w:t>finanz</w:t>
            </w:r>
            <w:proofErr w:type="spellEnd"/>
            <w:r w:rsidRPr="00DA23C5">
              <w:rPr>
                <w:rFonts w:ascii="Verdana" w:hAnsi="Verdana"/>
                <w:sz w:val="18"/>
                <w:szCs w:val="18"/>
              </w:rPr>
              <w:t>. / Ricavi</w:t>
            </w:r>
          </w:p>
        </w:tc>
        <w:tc>
          <w:tcPr>
            <w:tcW w:w="2023" w:type="dxa"/>
            <w:shd w:val="clear" w:color="auto" w:fill="auto"/>
            <w:vAlign w:val="center"/>
          </w:tcPr>
          <w:p w:rsidR="001D1212" w:rsidRPr="00DA23C5" w:rsidRDefault="001D1212" w:rsidP="00446271">
            <w:pPr>
              <w:jc w:val="center"/>
              <w:rPr>
                <w:rFonts w:ascii="Verdana" w:hAnsi="Verdana"/>
                <w:sz w:val="18"/>
                <w:szCs w:val="18"/>
              </w:rPr>
            </w:pPr>
            <w:proofErr w:type="spellStart"/>
            <w:r w:rsidRPr="00DA23C5">
              <w:rPr>
                <w:rFonts w:ascii="Verdana" w:hAnsi="Verdana"/>
                <w:sz w:val="18"/>
                <w:szCs w:val="18"/>
              </w:rPr>
              <w:t>Patr</w:t>
            </w:r>
            <w:proofErr w:type="spellEnd"/>
            <w:r w:rsidRPr="00DA23C5">
              <w:rPr>
                <w:rFonts w:ascii="Verdana" w:hAnsi="Verdana"/>
                <w:sz w:val="18"/>
                <w:szCs w:val="18"/>
              </w:rPr>
              <w:t xml:space="preserve">. Netto / </w:t>
            </w:r>
            <w:proofErr w:type="spellStart"/>
            <w:r w:rsidRPr="00DA23C5">
              <w:rPr>
                <w:rFonts w:ascii="Verdana" w:hAnsi="Verdana"/>
                <w:sz w:val="18"/>
                <w:szCs w:val="18"/>
              </w:rPr>
              <w:t>Tot.debiti</w:t>
            </w:r>
            <w:proofErr w:type="spellEnd"/>
          </w:p>
        </w:tc>
        <w:tc>
          <w:tcPr>
            <w:tcW w:w="1730" w:type="dxa"/>
            <w:shd w:val="clear" w:color="auto" w:fill="auto"/>
            <w:vAlign w:val="center"/>
          </w:tcPr>
          <w:p w:rsidR="001D1212" w:rsidRPr="00DA23C5" w:rsidRDefault="001D1212" w:rsidP="00446271">
            <w:pPr>
              <w:jc w:val="center"/>
              <w:rPr>
                <w:rFonts w:ascii="Verdana" w:hAnsi="Verdana"/>
                <w:sz w:val="18"/>
                <w:szCs w:val="18"/>
              </w:rPr>
            </w:pPr>
            <w:proofErr w:type="spellStart"/>
            <w:r w:rsidRPr="00DA23C5">
              <w:rPr>
                <w:rFonts w:ascii="Verdana" w:hAnsi="Verdana"/>
                <w:sz w:val="18"/>
                <w:szCs w:val="18"/>
              </w:rPr>
              <w:t>Att</w:t>
            </w:r>
            <w:proofErr w:type="spellEnd"/>
            <w:r w:rsidRPr="00DA23C5">
              <w:rPr>
                <w:rFonts w:ascii="Verdana" w:hAnsi="Verdana"/>
                <w:sz w:val="18"/>
                <w:szCs w:val="18"/>
              </w:rPr>
              <w:t>. breve/Pass. Breve</w:t>
            </w:r>
          </w:p>
        </w:tc>
        <w:tc>
          <w:tcPr>
            <w:tcW w:w="1528" w:type="dxa"/>
            <w:shd w:val="clear" w:color="auto" w:fill="auto"/>
            <w:vAlign w:val="center"/>
          </w:tcPr>
          <w:p w:rsidR="001D1212" w:rsidRPr="00DA23C5" w:rsidRDefault="001D1212" w:rsidP="00446271">
            <w:pPr>
              <w:jc w:val="center"/>
              <w:rPr>
                <w:rFonts w:ascii="Verdana" w:hAnsi="Verdana"/>
                <w:sz w:val="18"/>
                <w:szCs w:val="18"/>
              </w:rPr>
            </w:pPr>
            <w:r w:rsidRPr="00DA23C5">
              <w:rPr>
                <w:rFonts w:ascii="Verdana" w:hAnsi="Verdana"/>
                <w:sz w:val="18"/>
                <w:szCs w:val="18"/>
              </w:rPr>
              <w:t>Cash flow/attivo</w:t>
            </w:r>
          </w:p>
        </w:tc>
        <w:tc>
          <w:tcPr>
            <w:tcW w:w="1584" w:type="dxa"/>
            <w:shd w:val="clear" w:color="auto" w:fill="auto"/>
            <w:vAlign w:val="center"/>
          </w:tcPr>
          <w:p w:rsidR="001D1212" w:rsidRPr="00DA23C5" w:rsidRDefault="001D1212" w:rsidP="00446271">
            <w:pPr>
              <w:jc w:val="center"/>
              <w:rPr>
                <w:rFonts w:ascii="Verdana" w:hAnsi="Verdana"/>
                <w:sz w:val="18"/>
                <w:szCs w:val="18"/>
              </w:rPr>
            </w:pPr>
            <w:r w:rsidRPr="00DA23C5">
              <w:rPr>
                <w:rFonts w:ascii="Verdana" w:hAnsi="Verdana"/>
                <w:sz w:val="18"/>
                <w:szCs w:val="18"/>
              </w:rPr>
              <w:t xml:space="preserve">Debiti </w:t>
            </w:r>
            <w:proofErr w:type="spellStart"/>
            <w:r w:rsidRPr="00DA23C5">
              <w:rPr>
                <w:rFonts w:ascii="Verdana" w:hAnsi="Verdana"/>
                <w:sz w:val="18"/>
                <w:szCs w:val="18"/>
              </w:rPr>
              <w:t>trib</w:t>
            </w:r>
            <w:proofErr w:type="spellEnd"/>
            <w:r w:rsidRPr="00DA23C5">
              <w:rPr>
                <w:rFonts w:ascii="Verdana" w:hAnsi="Verdana"/>
                <w:sz w:val="18"/>
                <w:szCs w:val="18"/>
              </w:rPr>
              <w:t xml:space="preserve">. </w:t>
            </w:r>
            <w:proofErr w:type="gramStart"/>
            <w:r w:rsidRPr="00DA23C5">
              <w:rPr>
                <w:rFonts w:ascii="Verdana" w:hAnsi="Verdana"/>
                <w:sz w:val="18"/>
                <w:szCs w:val="18"/>
              </w:rPr>
              <w:t>e</w:t>
            </w:r>
            <w:proofErr w:type="gramEnd"/>
            <w:r w:rsidRPr="00DA23C5">
              <w:rPr>
                <w:rFonts w:ascii="Verdana" w:hAnsi="Verdana"/>
                <w:sz w:val="18"/>
                <w:szCs w:val="18"/>
              </w:rPr>
              <w:t xml:space="preserve"> </w:t>
            </w:r>
            <w:proofErr w:type="spellStart"/>
            <w:r w:rsidRPr="00DA23C5">
              <w:rPr>
                <w:rFonts w:ascii="Verdana" w:hAnsi="Verdana"/>
                <w:sz w:val="18"/>
                <w:szCs w:val="18"/>
              </w:rPr>
              <w:t>previd</w:t>
            </w:r>
            <w:proofErr w:type="spellEnd"/>
            <w:r w:rsidRPr="00DA23C5">
              <w:rPr>
                <w:rFonts w:ascii="Verdana" w:hAnsi="Verdana"/>
                <w:sz w:val="18"/>
                <w:szCs w:val="18"/>
              </w:rPr>
              <w:t xml:space="preserve"> / attivo</w:t>
            </w:r>
          </w:p>
        </w:tc>
      </w:tr>
      <w:tr w:rsidR="001D1212" w:rsidRPr="00DA23C5" w:rsidTr="00446271">
        <w:tc>
          <w:tcPr>
            <w:tcW w:w="930" w:type="dxa"/>
            <w:shd w:val="clear" w:color="auto" w:fill="auto"/>
          </w:tcPr>
          <w:p w:rsidR="001D1212" w:rsidRPr="00DA23C5" w:rsidRDefault="001D1212" w:rsidP="00446271">
            <w:pPr>
              <w:jc w:val="both"/>
              <w:rPr>
                <w:rFonts w:ascii="Verdana" w:hAnsi="Verdana"/>
                <w:sz w:val="18"/>
                <w:szCs w:val="18"/>
              </w:rPr>
            </w:pPr>
            <w:r w:rsidRPr="00DA23C5">
              <w:rPr>
                <w:rFonts w:ascii="Verdana" w:hAnsi="Verdana"/>
                <w:sz w:val="18"/>
                <w:szCs w:val="18"/>
              </w:rPr>
              <w:t>2019</w:t>
            </w:r>
          </w:p>
        </w:tc>
        <w:tc>
          <w:tcPr>
            <w:tcW w:w="1833"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0,00%</w:t>
            </w:r>
          </w:p>
        </w:tc>
        <w:tc>
          <w:tcPr>
            <w:tcW w:w="2023"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1265,74%</w:t>
            </w:r>
          </w:p>
        </w:tc>
        <w:tc>
          <w:tcPr>
            <w:tcW w:w="1730"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423,25%</w:t>
            </w:r>
          </w:p>
        </w:tc>
        <w:tc>
          <w:tcPr>
            <w:tcW w:w="1528"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3,60%</w:t>
            </w:r>
          </w:p>
        </w:tc>
        <w:tc>
          <w:tcPr>
            <w:tcW w:w="1584"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0,35%</w:t>
            </w:r>
          </w:p>
        </w:tc>
      </w:tr>
      <w:tr w:rsidR="001D1212" w:rsidRPr="00DA23C5" w:rsidTr="00446271">
        <w:tc>
          <w:tcPr>
            <w:tcW w:w="930" w:type="dxa"/>
            <w:shd w:val="clear" w:color="auto" w:fill="auto"/>
          </w:tcPr>
          <w:p w:rsidR="001D1212" w:rsidRPr="00DA23C5" w:rsidRDefault="001D1212" w:rsidP="00446271">
            <w:pPr>
              <w:jc w:val="both"/>
              <w:rPr>
                <w:rFonts w:ascii="Verdana" w:hAnsi="Verdana"/>
                <w:sz w:val="18"/>
                <w:szCs w:val="18"/>
              </w:rPr>
            </w:pPr>
            <w:r w:rsidRPr="00DA23C5">
              <w:rPr>
                <w:rFonts w:ascii="Verdana" w:hAnsi="Verdana"/>
                <w:sz w:val="18"/>
                <w:szCs w:val="18"/>
              </w:rPr>
              <w:t>2020</w:t>
            </w:r>
          </w:p>
        </w:tc>
        <w:tc>
          <w:tcPr>
            <w:tcW w:w="1833"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0,00%</w:t>
            </w:r>
          </w:p>
        </w:tc>
        <w:tc>
          <w:tcPr>
            <w:tcW w:w="2023"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1257,69%</w:t>
            </w:r>
          </w:p>
        </w:tc>
        <w:tc>
          <w:tcPr>
            <w:tcW w:w="1730"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373,99%</w:t>
            </w:r>
          </w:p>
        </w:tc>
        <w:tc>
          <w:tcPr>
            <w:tcW w:w="1528"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6,12%</w:t>
            </w:r>
          </w:p>
        </w:tc>
        <w:tc>
          <w:tcPr>
            <w:tcW w:w="1584"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0,23%</w:t>
            </w:r>
          </w:p>
        </w:tc>
      </w:tr>
      <w:tr w:rsidR="001D1212" w:rsidRPr="00DA23C5" w:rsidTr="00446271">
        <w:tc>
          <w:tcPr>
            <w:tcW w:w="930" w:type="dxa"/>
            <w:shd w:val="clear" w:color="auto" w:fill="auto"/>
          </w:tcPr>
          <w:p w:rsidR="001D1212" w:rsidRPr="00DA23C5" w:rsidRDefault="001D1212" w:rsidP="00446271">
            <w:pPr>
              <w:jc w:val="both"/>
              <w:rPr>
                <w:rFonts w:ascii="Verdana" w:hAnsi="Verdana"/>
                <w:sz w:val="18"/>
                <w:szCs w:val="18"/>
                <w:highlight w:val="yellow"/>
              </w:rPr>
            </w:pPr>
            <w:r w:rsidRPr="00DA23C5">
              <w:rPr>
                <w:rFonts w:ascii="Verdana" w:hAnsi="Verdana"/>
                <w:sz w:val="18"/>
                <w:szCs w:val="18"/>
              </w:rPr>
              <w:t>2021</w:t>
            </w:r>
          </w:p>
        </w:tc>
        <w:tc>
          <w:tcPr>
            <w:tcW w:w="1833"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0,00%</w:t>
            </w:r>
          </w:p>
        </w:tc>
        <w:tc>
          <w:tcPr>
            <w:tcW w:w="2023"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1292,20%</w:t>
            </w:r>
          </w:p>
        </w:tc>
        <w:tc>
          <w:tcPr>
            <w:tcW w:w="1730"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322,02%</w:t>
            </w:r>
          </w:p>
        </w:tc>
        <w:tc>
          <w:tcPr>
            <w:tcW w:w="1528"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6,05%</w:t>
            </w:r>
          </w:p>
        </w:tc>
        <w:tc>
          <w:tcPr>
            <w:tcW w:w="1584" w:type="dxa"/>
            <w:shd w:val="clear" w:color="auto" w:fill="auto"/>
            <w:vAlign w:val="bottom"/>
          </w:tcPr>
          <w:p w:rsidR="001D1212" w:rsidRPr="00DA23C5" w:rsidRDefault="001D1212" w:rsidP="00446271">
            <w:pPr>
              <w:jc w:val="center"/>
              <w:rPr>
                <w:rFonts w:ascii="Verdana" w:hAnsi="Verdana"/>
                <w:sz w:val="18"/>
                <w:szCs w:val="18"/>
              </w:rPr>
            </w:pPr>
            <w:r w:rsidRPr="00DA23C5">
              <w:rPr>
                <w:rFonts w:ascii="Verdana" w:hAnsi="Verdana"/>
                <w:sz w:val="18"/>
                <w:szCs w:val="18"/>
              </w:rPr>
              <w:t>0,44%</w:t>
            </w:r>
          </w:p>
        </w:tc>
      </w:tr>
    </w:tbl>
    <w:p w:rsidR="001D1212" w:rsidRPr="00DA23C5" w:rsidRDefault="001D1212" w:rsidP="001D1212">
      <w:pPr>
        <w:ind w:firstLine="708"/>
        <w:jc w:val="both"/>
        <w:rPr>
          <w:rFonts w:ascii="Verdana" w:hAnsi="Verdana"/>
          <w:sz w:val="18"/>
          <w:szCs w:val="18"/>
        </w:rPr>
      </w:pPr>
      <w:r w:rsidRPr="00DA23C5">
        <w:rPr>
          <w:rFonts w:ascii="Verdana" w:hAnsi="Verdana"/>
          <w:sz w:val="18"/>
          <w:szCs w:val="18"/>
        </w:rPr>
        <w:t xml:space="preserve">La modifica più rilevante apportata dal </w:t>
      </w:r>
      <w:proofErr w:type="spellStart"/>
      <w:r w:rsidRPr="00DA23C5">
        <w:rPr>
          <w:rFonts w:ascii="Verdana" w:hAnsi="Verdana"/>
          <w:sz w:val="18"/>
          <w:szCs w:val="18"/>
        </w:rPr>
        <w:t>Cci</w:t>
      </w:r>
      <w:proofErr w:type="spellEnd"/>
      <w:r w:rsidRPr="00DA23C5">
        <w:rPr>
          <w:rFonts w:ascii="Verdana" w:hAnsi="Verdana"/>
          <w:sz w:val="18"/>
          <w:szCs w:val="18"/>
        </w:rPr>
        <w:t xml:space="preserve"> alle norme civilistiche -fra l’altro già in vigore dal 16 marzo 2019- riguarda l’integrazione del comma 2 dell’art.2086 del codice civile (rubricato “gestione dell’impresa”); la novellata disposizione, al fine di prevedere tempestivamente l'emersione della crisi d'impresa, impone all’imprenditore che opera in forma collettiva o societaria di:</w:t>
      </w:r>
    </w:p>
    <w:p w:rsidR="001D1212" w:rsidRPr="00DA23C5" w:rsidRDefault="001D1212" w:rsidP="001D1212">
      <w:pPr>
        <w:numPr>
          <w:ilvl w:val="0"/>
          <w:numId w:val="19"/>
        </w:numPr>
        <w:jc w:val="both"/>
        <w:rPr>
          <w:rFonts w:ascii="Verdana" w:hAnsi="Verdana"/>
          <w:sz w:val="18"/>
          <w:szCs w:val="18"/>
        </w:rPr>
      </w:pPr>
      <w:proofErr w:type="gramStart"/>
      <w:r w:rsidRPr="00DA23C5">
        <w:rPr>
          <w:rFonts w:ascii="Verdana" w:hAnsi="Verdana"/>
          <w:sz w:val="18"/>
          <w:szCs w:val="18"/>
        </w:rPr>
        <w:t>adottare</w:t>
      </w:r>
      <w:proofErr w:type="gramEnd"/>
      <w:r w:rsidRPr="00DA23C5">
        <w:rPr>
          <w:rFonts w:ascii="Verdana" w:hAnsi="Verdana"/>
          <w:sz w:val="18"/>
          <w:szCs w:val="18"/>
        </w:rPr>
        <w:t xml:space="preserve"> un assetto organizzativo amministrativo e contabile adeguato in relazione alla natura e alla dimensione dell’impresa;</w:t>
      </w:r>
    </w:p>
    <w:p w:rsidR="001D1212" w:rsidRPr="00DA23C5" w:rsidRDefault="001D1212" w:rsidP="001D1212">
      <w:pPr>
        <w:numPr>
          <w:ilvl w:val="0"/>
          <w:numId w:val="19"/>
        </w:numPr>
        <w:jc w:val="both"/>
        <w:rPr>
          <w:rFonts w:ascii="Verdana" w:hAnsi="Verdana"/>
          <w:sz w:val="18"/>
          <w:szCs w:val="18"/>
        </w:rPr>
      </w:pPr>
      <w:proofErr w:type="gramStart"/>
      <w:r w:rsidRPr="00DA23C5">
        <w:rPr>
          <w:rFonts w:ascii="Verdana" w:hAnsi="Verdana"/>
          <w:sz w:val="18"/>
          <w:szCs w:val="18"/>
        </w:rPr>
        <w:t>assicurarsi</w:t>
      </w:r>
      <w:proofErr w:type="gramEnd"/>
      <w:r w:rsidRPr="00DA23C5">
        <w:rPr>
          <w:rFonts w:ascii="Verdana" w:hAnsi="Verdana"/>
          <w:sz w:val="18"/>
          <w:szCs w:val="18"/>
        </w:rPr>
        <w:t xml:space="preserve"> che tale assetto sia anche in grado di rilevare subito la crisi e la perdita della continuità aziendale;</w:t>
      </w:r>
    </w:p>
    <w:p w:rsidR="001D1212" w:rsidRPr="00DA23C5" w:rsidRDefault="001D1212" w:rsidP="001D1212">
      <w:pPr>
        <w:numPr>
          <w:ilvl w:val="0"/>
          <w:numId w:val="19"/>
        </w:numPr>
        <w:jc w:val="both"/>
        <w:rPr>
          <w:rFonts w:ascii="Verdana" w:hAnsi="Verdana"/>
          <w:sz w:val="18"/>
          <w:szCs w:val="18"/>
        </w:rPr>
      </w:pPr>
      <w:proofErr w:type="gramStart"/>
      <w:r w:rsidRPr="00DA23C5">
        <w:rPr>
          <w:rFonts w:ascii="Verdana" w:hAnsi="Verdana"/>
          <w:sz w:val="18"/>
          <w:szCs w:val="18"/>
        </w:rPr>
        <w:t>attivarsi</w:t>
      </w:r>
      <w:proofErr w:type="gramEnd"/>
      <w:r w:rsidRPr="00DA23C5">
        <w:rPr>
          <w:rFonts w:ascii="Verdana" w:hAnsi="Verdana"/>
          <w:sz w:val="18"/>
          <w:szCs w:val="18"/>
        </w:rPr>
        <w:t xml:space="preserve"> senza indugio per adottare strumenti che consentano il superamento della crisi e il recupero della continuità aziendale.</w:t>
      </w:r>
    </w:p>
    <w:p w:rsidR="001D1212" w:rsidRPr="00DA23C5" w:rsidRDefault="001D1212" w:rsidP="001D1212">
      <w:pPr>
        <w:ind w:firstLine="708"/>
        <w:jc w:val="both"/>
        <w:rPr>
          <w:rFonts w:ascii="Verdana" w:hAnsi="Verdana"/>
          <w:sz w:val="18"/>
          <w:szCs w:val="18"/>
        </w:rPr>
      </w:pPr>
      <w:r w:rsidRPr="00DA23C5">
        <w:rPr>
          <w:rFonts w:ascii="Verdana" w:hAnsi="Verdana"/>
          <w:sz w:val="18"/>
          <w:szCs w:val="18"/>
        </w:rPr>
        <w:t xml:space="preserve">L’effettiva attuazione delle misure previste dalla nuova formulazione dell’art. 3 </w:t>
      </w:r>
      <w:proofErr w:type="spellStart"/>
      <w:r w:rsidRPr="00DA23C5">
        <w:rPr>
          <w:rFonts w:ascii="Verdana" w:hAnsi="Verdana"/>
          <w:sz w:val="18"/>
          <w:szCs w:val="18"/>
        </w:rPr>
        <w:t>dlgs</w:t>
      </w:r>
      <w:proofErr w:type="spellEnd"/>
      <w:r w:rsidRPr="00DA23C5">
        <w:rPr>
          <w:rFonts w:ascii="Verdana" w:hAnsi="Verdana"/>
          <w:sz w:val="18"/>
          <w:szCs w:val="18"/>
        </w:rPr>
        <w:t xml:space="preserve"> 14/2019 in merito all’adeguatezza dell’assetto organizzativo è stata verificata attraverso un check-up di autovalutazione effettuato nel corrente mese di luglio 2022 sulla base di:</w:t>
      </w:r>
    </w:p>
    <w:p w:rsidR="001D1212" w:rsidRPr="00DA23C5" w:rsidRDefault="001D1212" w:rsidP="001D1212">
      <w:pPr>
        <w:ind w:firstLine="708"/>
        <w:jc w:val="both"/>
        <w:rPr>
          <w:rFonts w:ascii="Verdana" w:hAnsi="Verdana"/>
          <w:sz w:val="18"/>
          <w:szCs w:val="18"/>
        </w:rPr>
      </w:pPr>
      <w:r w:rsidRPr="00DA23C5">
        <w:rPr>
          <w:rFonts w:ascii="Verdana" w:hAnsi="Verdana"/>
          <w:sz w:val="18"/>
          <w:szCs w:val="18"/>
        </w:rPr>
        <w:t xml:space="preserve">- </w:t>
      </w:r>
      <w:proofErr w:type="spellStart"/>
      <w:r w:rsidRPr="00DA23C5">
        <w:rPr>
          <w:rFonts w:ascii="Verdana" w:hAnsi="Verdana"/>
          <w:sz w:val="18"/>
          <w:szCs w:val="18"/>
        </w:rPr>
        <w:t>check</w:t>
      </w:r>
      <w:proofErr w:type="spellEnd"/>
      <w:r w:rsidRPr="00DA23C5">
        <w:rPr>
          <w:rFonts w:ascii="Verdana" w:hAnsi="Verdana"/>
          <w:sz w:val="18"/>
          <w:szCs w:val="18"/>
        </w:rPr>
        <w:t>-list prevista dal Decreto del Ministero di giustizia del 28/9/2021 “Composizione negoziata per la soluzione della crisi d’impresa, previsto dal DL 24/8/2021 n. 118, sezione II al punto 1: requisito dell’organizzazione dell’impresa e al punto 2: rilevazione della situazione contabile e dell’andamento corrente;</w:t>
      </w:r>
    </w:p>
    <w:p w:rsidR="001D1212" w:rsidRPr="00DA23C5" w:rsidRDefault="001D1212" w:rsidP="001D1212">
      <w:pPr>
        <w:ind w:firstLine="708"/>
        <w:jc w:val="both"/>
        <w:rPr>
          <w:rFonts w:ascii="Verdana" w:hAnsi="Verdana"/>
          <w:sz w:val="18"/>
          <w:szCs w:val="18"/>
        </w:rPr>
      </w:pPr>
      <w:r w:rsidRPr="00DA23C5">
        <w:rPr>
          <w:rFonts w:ascii="Verdana" w:hAnsi="Verdana"/>
          <w:sz w:val="18"/>
          <w:szCs w:val="18"/>
        </w:rPr>
        <w:t>- norme di comportamento del collegio sindacale delle società non quotate emanate dal Consiglio nazionale dei dottori commercialisti e degli esperti contabili (</w:t>
      </w:r>
      <w:proofErr w:type="spellStart"/>
      <w:r w:rsidRPr="00DA23C5">
        <w:rPr>
          <w:rFonts w:ascii="Verdana" w:hAnsi="Verdana"/>
          <w:sz w:val="18"/>
          <w:szCs w:val="18"/>
        </w:rPr>
        <w:t>Cndcec</w:t>
      </w:r>
      <w:proofErr w:type="spellEnd"/>
      <w:r w:rsidRPr="00DA23C5">
        <w:rPr>
          <w:rFonts w:ascii="Verdana" w:hAnsi="Verdana"/>
          <w:sz w:val="18"/>
          <w:szCs w:val="18"/>
        </w:rPr>
        <w:t>); in particolare ai sensi della norma 3.5, un assetto organizzativo può definirsi adeguato quando la società presenta determinate peculiarità.</w:t>
      </w:r>
    </w:p>
    <w:p w:rsidR="001D1212" w:rsidRPr="00DA23C5" w:rsidRDefault="001D1212" w:rsidP="001D1212">
      <w:pPr>
        <w:ind w:firstLine="708"/>
        <w:jc w:val="both"/>
        <w:rPr>
          <w:rFonts w:ascii="Verdana" w:hAnsi="Verdana"/>
          <w:sz w:val="18"/>
          <w:szCs w:val="18"/>
        </w:rPr>
      </w:pPr>
      <w:r w:rsidRPr="00DA23C5">
        <w:rPr>
          <w:rFonts w:ascii="Verdana" w:hAnsi="Verdana"/>
          <w:sz w:val="18"/>
          <w:szCs w:val="18"/>
        </w:rPr>
        <w:t xml:space="preserve">Principalmente il </w:t>
      </w:r>
      <w:r w:rsidRPr="00DA23C5">
        <w:rPr>
          <w:rFonts w:ascii="Verdana" w:hAnsi="Verdana" w:cs="Arial"/>
          <w:sz w:val="18"/>
          <w:szCs w:val="18"/>
        </w:rPr>
        <w:t xml:space="preserve">Regolamento per la misurazione e la gestione del rischio di crisi aziendale </w:t>
      </w:r>
      <w:r w:rsidRPr="00DA23C5">
        <w:rPr>
          <w:rFonts w:ascii="Verdana" w:hAnsi="Verdana"/>
          <w:sz w:val="18"/>
          <w:szCs w:val="18"/>
        </w:rPr>
        <w:t xml:space="preserve">e i protocolli/procedure aziendali in materia di organizzazione e personale definiscono il contesto in cui trovano compiuta implementazione nella società le misure previste dal novellato contesto normativo per prevenire uno stato di crisi e di insolenza aziendale.  Gli esiti positivi del processo di autovalutazione disposto dal </w:t>
      </w:r>
      <w:proofErr w:type="spellStart"/>
      <w:r w:rsidRPr="00DA23C5">
        <w:rPr>
          <w:rFonts w:ascii="Verdana" w:hAnsi="Verdana"/>
          <w:sz w:val="18"/>
          <w:szCs w:val="18"/>
        </w:rPr>
        <w:t>CdA</w:t>
      </w:r>
      <w:proofErr w:type="spellEnd"/>
      <w:r w:rsidRPr="00DA23C5">
        <w:rPr>
          <w:rFonts w:ascii="Verdana" w:hAnsi="Verdana"/>
          <w:sz w:val="18"/>
          <w:szCs w:val="18"/>
        </w:rPr>
        <w:t xml:space="preserve"> sull’implementazione del sistema sono stati sottoposti anche agli organi di controllo per recepire eventuali loro osservazioni.</w:t>
      </w:r>
    </w:p>
    <w:p w:rsidR="00407873" w:rsidRPr="00DA23C5" w:rsidRDefault="00407873" w:rsidP="00071495">
      <w:pPr>
        <w:jc w:val="both"/>
        <w:rPr>
          <w:rFonts w:ascii="Verdana" w:hAnsi="Verdana"/>
          <w:b/>
          <w:color w:val="FF0000"/>
          <w:sz w:val="18"/>
          <w:szCs w:val="18"/>
        </w:rPr>
      </w:pPr>
      <w:r w:rsidRPr="00DA23C5">
        <w:rPr>
          <w:rFonts w:ascii="Verdana" w:hAnsi="Verdana"/>
          <w:b/>
          <w:sz w:val="18"/>
          <w:szCs w:val="18"/>
        </w:rPr>
        <w:t xml:space="preserve">1.b Gli strumenti di governo societario integrativi a quanto previsto dalle normative e dallo statuto (comma 3) </w:t>
      </w:r>
    </w:p>
    <w:p w:rsidR="00F56E9B" w:rsidRPr="00DA23C5" w:rsidRDefault="00407873" w:rsidP="00F56E9B">
      <w:pPr>
        <w:jc w:val="both"/>
        <w:rPr>
          <w:rFonts w:ascii="Verdana" w:hAnsi="Verdana"/>
          <w:sz w:val="18"/>
          <w:szCs w:val="18"/>
        </w:rPr>
      </w:pPr>
      <w:r w:rsidRPr="00DA23C5">
        <w:rPr>
          <w:rFonts w:ascii="Verdana" w:hAnsi="Verdana"/>
          <w:b/>
          <w:sz w:val="18"/>
          <w:szCs w:val="18"/>
        </w:rPr>
        <w:t>Comma 3, lettera a) garantire la conformità dell’attività svolta alle norme di tutela della concorrenza:</w:t>
      </w:r>
      <w:r w:rsidRPr="00DA23C5">
        <w:rPr>
          <w:rFonts w:ascii="Verdana" w:hAnsi="Verdana"/>
          <w:sz w:val="18"/>
          <w:szCs w:val="18"/>
        </w:rPr>
        <w:t xml:space="preserve"> </w:t>
      </w:r>
      <w:r w:rsidR="00F56E9B" w:rsidRPr="00DA23C5">
        <w:rPr>
          <w:rFonts w:ascii="Verdana" w:hAnsi="Verdana"/>
          <w:sz w:val="18"/>
          <w:szCs w:val="18"/>
        </w:rPr>
        <w:t xml:space="preserve">In linea generale la conformità dell’attività svolta alle norme di tutela della concorrenza si esplica su due livelli: la fase di vendita-erogazione dei servizi e la fase di acquisto di quanto necessario al ciclo produttivo. Nel caso di Romagna Acque, per l’attività principale (vendita dell’acqua all’ingrosso), la prima fase è svolta, come noto, </w:t>
      </w:r>
      <w:r w:rsidR="00F56E9B" w:rsidRPr="00DA23C5">
        <w:rPr>
          <w:rFonts w:ascii="Verdana" w:hAnsi="Verdana"/>
          <w:b/>
          <w:sz w:val="18"/>
          <w:szCs w:val="18"/>
        </w:rPr>
        <w:t xml:space="preserve">a nome e per conto degli enti soci trattandosi di società in </w:t>
      </w:r>
      <w:proofErr w:type="spellStart"/>
      <w:r w:rsidR="00F56E9B" w:rsidRPr="00DA23C5">
        <w:rPr>
          <w:rFonts w:ascii="Verdana" w:hAnsi="Verdana"/>
          <w:b/>
          <w:sz w:val="18"/>
          <w:szCs w:val="18"/>
        </w:rPr>
        <w:t>house</w:t>
      </w:r>
      <w:proofErr w:type="spellEnd"/>
      <w:r w:rsidR="00F56E9B" w:rsidRPr="00DA23C5">
        <w:rPr>
          <w:rFonts w:ascii="Verdana" w:hAnsi="Verdana"/>
          <w:sz w:val="18"/>
          <w:szCs w:val="18"/>
        </w:rPr>
        <w:t xml:space="preserve">, in un mercato regolato (a favore di un pressoché unico cliente, HERA - è del tutto marginale la fornitura idrica alla Repubblica di San Marino) e quindi, si ritiene che non esista il problema di tutelare la concorrenza o di evitare problematiche di vigilanza contro gli abusi di </w:t>
      </w:r>
      <w:hyperlink r:id="rId8" w:tooltip="Posizione dominante" w:history="1">
        <w:r w:rsidR="00F56E9B" w:rsidRPr="00DA23C5">
          <w:rPr>
            <w:rFonts w:ascii="Verdana" w:hAnsi="Verdana"/>
            <w:sz w:val="18"/>
            <w:szCs w:val="18"/>
          </w:rPr>
          <w:t>posizione dominante</w:t>
        </w:r>
      </w:hyperlink>
      <w:r w:rsidR="00F56E9B" w:rsidRPr="00DA23C5">
        <w:rPr>
          <w:rFonts w:ascii="Verdana" w:hAnsi="Verdana"/>
          <w:sz w:val="18"/>
          <w:szCs w:val="18"/>
        </w:rPr>
        <w:t xml:space="preserve">, di vigilanza contro intese e/o cartelli che possono risultare lesivi o restrittivi per la concorrenza, </w:t>
      </w:r>
      <w:hyperlink r:id="rId9" w:tooltip="Tutela del consumatore" w:history="1">
        <w:r w:rsidR="00F56E9B" w:rsidRPr="00DA23C5">
          <w:rPr>
            <w:rFonts w:ascii="Verdana" w:hAnsi="Verdana"/>
            <w:sz w:val="18"/>
            <w:szCs w:val="18"/>
          </w:rPr>
          <w:t>tutelare il consumatore</w:t>
        </w:r>
      </w:hyperlink>
      <w:r w:rsidR="00F56E9B" w:rsidRPr="00DA23C5">
        <w:rPr>
          <w:rFonts w:ascii="Verdana" w:hAnsi="Verdana"/>
          <w:sz w:val="18"/>
          <w:szCs w:val="18"/>
        </w:rPr>
        <w:t xml:space="preserve"> contro </w:t>
      </w:r>
      <w:hyperlink r:id="rId10" w:tooltip="Pratiche commerciali scorrette" w:history="1">
        <w:r w:rsidR="00F56E9B" w:rsidRPr="00DA23C5">
          <w:rPr>
            <w:rFonts w:ascii="Verdana" w:hAnsi="Verdana"/>
            <w:sz w:val="18"/>
            <w:szCs w:val="18"/>
          </w:rPr>
          <w:t>pratiche commerciali scorrette</w:t>
        </w:r>
      </w:hyperlink>
      <w:r w:rsidR="00F56E9B" w:rsidRPr="00DA23C5">
        <w:rPr>
          <w:rFonts w:ascii="Verdana" w:hAnsi="Verdana"/>
          <w:sz w:val="18"/>
          <w:szCs w:val="18"/>
        </w:rPr>
        <w:t xml:space="preserve">, </w:t>
      </w:r>
      <w:hyperlink r:id="rId11" w:tooltip="Clausola vessatoria" w:history="1">
        <w:r w:rsidR="00F56E9B" w:rsidRPr="00DA23C5">
          <w:rPr>
            <w:rFonts w:ascii="Verdana" w:hAnsi="Verdana"/>
            <w:sz w:val="18"/>
            <w:szCs w:val="18"/>
          </w:rPr>
          <w:t>clausole vessatorie</w:t>
        </w:r>
      </w:hyperlink>
      <w:r w:rsidR="00F56E9B" w:rsidRPr="00DA23C5">
        <w:rPr>
          <w:rFonts w:ascii="Verdana" w:hAnsi="Verdana"/>
          <w:sz w:val="18"/>
          <w:szCs w:val="18"/>
        </w:rPr>
        <w:t xml:space="preserve"> e </w:t>
      </w:r>
      <w:hyperlink r:id="rId12" w:tooltip="Pubblicità ingannevole" w:history="1">
        <w:r w:rsidR="00F56E9B" w:rsidRPr="00DA23C5">
          <w:rPr>
            <w:rFonts w:ascii="Verdana" w:hAnsi="Verdana"/>
            <w:sz w:val="18"/>
            <w:szCs w:val="18"/>
          </w:rPr>
          <w:t>pubblicità ingannevole</w:t>
        </w:r>
      </w:hyperlink>
      <w:r w:rsidR="00F56E9B" w:rsidRPr="00DA23C5">
        <w:rPr>
          <w:rFonts w:ascii="Verdana" w:hAnsi="Verdana"/>
          <w:sz w:val="18"/>
          <w:szCs w:val="18"/>
        </w:rPr>
        <w:t xml:space="preserve">. Per quanto riguarda invece le attività minori, la vendita dell’energia elettrica prodotta dagli impianti a fonte rinnovabile avviene in parte al GSE (per la quota soggetta a regimi incentivanti) e quindi ad un acquirente pubblico a condizioni regolate dalle norme ed in parte sul libero mercato, a seguito di procedura di gara pubblica e quindi nel pieno rispetto della tutela della concorrenza. Per quanto riguarda invece lo sfruttamento degli </w:t>
      </w:r>
      <w:proofErr w:type="spellStart"/>
      <w:r w:rsidR="00F56E9B" w:rsidRPr="00DA23C5">
        <w:rPr>
          <w:rFonts w:ascii="Verdana" w:hAnsi="Verdana"/>
          <w:i/>
          <w:sz w:val="18"/>
          <w:szCs w:val="18"/>
        </w:rPr>
        <w:t>asset</w:t>
      </w:r>
      <w:proofErr w:type="spellEnd"/>
      <w:r w:rsidR="00F56E9B" w:rsidRPr="00DA23C5">
        <w:rPr>
          <w:rFonts w:ascii="Verdana" w:hAnsi="Verdana"/>
          <w:sz w:val="18"/>
          <w:szCs w:val="18"/>
        </w:rPr>
        <w:t xml:space="preserve"> patrimoniali nell’ambito delle telecomunicazioni la Società ha definito dei listini, applicati secondo principi di parità di trattamento e trasparenza a tutti gli operatori richiedenti. I listini sulle fibre ottiche sono allineati con quanto praticato nell’ambito degli investimenti regionali (società Lepida) e ministeriali (società </w:t>
      </w:r>
      <w:proofErr w:type="spellStart"/>
      <w:r w:rsidR="00F56E9B" w:rsidRPr="00DA23C5">
        <w:rPr>
          <w:rFonts w:ascii="Verdana" w:hAnsi="Verdana"/>
          <w:sz w:val="18"/>
          <w:szCs w:val="18"/>
        </w:rPr>
        <w:t>Infratel</w:t>
      </w:r>
      <w:proofErr w:type="spellEnd"/>
      <w:r w:rsidR="00F56E9B" w:rsidRPr="00DA23C5">
        <w:rPr>
          <w:rFonts w:ascii="Verdana" w:hAnsi="Verdana"/>
          <w:sz w:val="18"/>
          <w:szCs w:val="18"/>
        </w:rPr>
        <w:t>) sulla banda larga.</w:t>
      </w:r>
    </w:p>
    <w:p w:rsidR="00F56E9B" w:rsidRPr="00DA23C5" w:rsidRDefault="00F56E9B" w:rsidP="00F56E9B">
      <w:pPr>
        <w:jc w:val="both"/>
        <w:rPr>
          <w:rFonts w:ascii="Verdana" w:hAnsi="Verdana"/>
          <w:sz w:val="18"/>
          <w:szCs w:val="18"/>
        </w:rPr>
      </w:pPr>
      <w:r w:rsidRPr="00DA23C5">
        <w:rPr>
          <w:rFonts w:ascii="Verdana" w:hAnsi="Verdana"/>
          <w:sz w:val="18"/>
          <w:szCs w:val="18"/>
        </w:rPr>
        <w:t xml:space="preserve">In merito alla fase di acquisizione di forniture, servizi, lavori necessari allo svolgimento del ciclo produttivo si ritiene che la tutela della concorrenza sia garantita dall’applicazione del Codice dei Contratti e dall’attenzione della società ad una “corretta” politica degli acquisti. La società, in qualità di impresa pubblica operante per la gran parte delle proprie attività nell’ambito dei settori speciali, garantisce la piena applicazione del codice dei contratti (d.lgs. 50/2016). Il “Servizio Affidamenti” è la funzione aziendale che sovraintende all’applicazione delle procedure di affidamento della società. </w:t>
      </w:r>
    </w:p>
    <w:p w:rsidR="00407873" w:rsidRPr="00DA23C5" w:rsidRDefault="00407873" w:rsidP="00071495">
      <w:pPr>
        <w:jc w:val="both"/>
        <w:rPr>
          <w:rFonts w:ascii="Verdana" w:hAnsi="Verdana"/>
          <w:b/>
          <w:color w:val="FF0000"/>
          <w:sz w:val="18"/>
          <w:szCs w:val="18"/>
        </w:rPr>
      </w:pPr>
      <w:r w:rsidRPr="00DA23C5">
        <w:rPr>
          <w:rFonts w:ascii="Verdana" w:hAnsi="Verdana"/>
          <w:b/>
          <w:sz w:val="18"/>
          <w:szCs w:val="18"/>
        </w:rPr>
        <w:t>Comma 3, lettera b) e c): garantire e strutturare un modello organizzativo in grado di assicurare una collaborazione tempestiva e regolare con gli organi-organismi di controllo; adottare e applicare codici di condotta sulla disciplina dei comportamenti nei confronti di consumatori, dipendenti e collaboratori, altri portatori d’interessi coinvolti nell’attività della società.</w:t>
      </w:r>
    </w:p>
    <w:p w:rsidR="00B85D53" w:rsidRPr="00DA23C5" w:rsidRDefault="00B85D53" w:rsidP="00071495">
      <w:pPr>
        <w:tabs>
          <w:tab w:val="left" w:pos="0"/>
        </w:tabs>
        <w:jc w:val="both"/>
        <w:rPr>
          <w:rFonts w:ascii="Verdana" w:hAnsi="Verdana"/>
          <w:sz w:val="18"/>
          <w:szCs w:val="18"/>
        </w:rPr>
      </w:pPr>
      <w:r w:rsidRPr="00DA23C5">
        <w:rPr>
          <w:rFonts w:ascii="Verdana" w:hAnsi="Verdana"/>
          <w:sz w:val="18"/>
          <w:szCs w:val="18"/>
        </w:rPr>
        <w:lastRenderedPageBreak/>
        <w:t>Al fine di</w:t>
      </w:r>
      <w:r w:rsidRPr="00DA23C5">
        <w:rPr>
          <w:rFonts w:ascii="Verdana" w:hAnsi="Verdana"/>
          <w:b/>
          <w:sz w:val="18"/>
          <w:szCs w:val="18"/>
        </w:rPr>
        <w:t xml:space="preserve"> </w:t>
      </w:r>
      <w:r w:rsidRPr="00DA23C5">
        <w:rPr>
          <w:rFonts w:ascii="Verdana" w:hAnsi="Verdana"/>
          <w:sz w:val="18"/>
          <w:szCs w:val="18"/>
          <w:u w:val="single"/>
        </w:rPr>
        <w:t>strutturare un modello organizzativo in grado di assicurare una collaborazione tempestiva e regolare con gli organi-organismi di controllo</w:t>
      </w:r>
      <w:r w:rsidRPr="00DA23C5">
        <w:rPr>
          <w:rFonts w:ascii="Verdana" w:hAnsi="Verdana"/>
          <w:b/>
          <w:sz w:val="18"/>
          <w:szCs w:val="18"/>
        </w:rPr>
        <w:t>,</w:t>
      </w:r>
      <w:r w:rsidRPr="00DA23C5">
        <w:rPr>
          <w:rFonts w:ascii="Verdana" w:hAnsi="Verdana"/>
          <w:sz w:val="18"/>
          <w:szCs w:val="18"/>
        </w:rPr>
        <w:t xml:space="preserve"> sono state adottate e formalizzate precise regole interne. I protocolli adottati nell’ambito del sistema integrato “MOG 231/normativa anticorruzione e trasparenza” prevedono un flusso informativo costante verso l’</w:t>
      </w:r>
      <w:proofErr w:type="spellStart"/>
      <w:r w:rsidRPr="00DA23C5">
        <w:rPr>
          <w:rFonts w:ascii="Verdana" w:hAnsi="Verdana"/>
          <w:sz w:val="18"/>
          <w:szCs w:val="18"/>
        </w:rPr>
        <w:t>OdV</w:t>
      </w:r>
      <w:proofErr w:type="spellEnd"/>
      <w:r w:rsidRPr="00DA23C5">
        <w:rPr>
          <w:rFonts w:ascii="Verdana" w:hAnsi="Verdana"/>
          <w:sz w:val="18"/>
          <w:szCs w:val="18"/>
        </w:rPr>
        <w:t xml:space="preserve"> e il RPCT</w:t>
      </w:r>
      <w:r w:rsidRPr="00DA23C5">
        <w:rPr>
          <w:rFonts w:ascii="Verdana" w:hAnsi="Verdana"/>
          <w:color w:val="000000" w:themeColor="text1"/>
          <w:sz w:val="18"/>
          <w:szCs w:val="18"/>
        </w:rPr>
        <w:t xml:space="preserve">. Nell’ambito della gestione degli aspetti di prevenzione e protezione dei lavoratori il datore di lavoro fornisce specifico aggiornamento periodico al </w:t>
      </w:r>
      <w:proofErr w:type="spellStart"/>
      <w:r w:rsidRPr="00DA23C5">
        <w:rPr>
          <w:rFonts w:ascii="Verdana" w:hAnsi="Verdana"/>
          <w:color w:val="000000" w:themeColor="text1"/>
          <w:sz w:val="18"/>
          <w:szCs w:val="18"/>
        </w:rPr>
        <w:t>CdA</w:t>
      </w:r>
      <w:proofErr w:type="spellEnd"/>
      <w:r w:rsidRPr="00DA23C5">
        <w:rPr>
          <w:rFonts w:ascii="Verdana" w:hAnsi="Verdana"/>
          <w:color w:val="000000" w:themeColor="text1"/>
          <w:sz w:val="18"/>
          <w:szCs w:val="18"/>
        </w:rPr>
        <w:t xml:space="preserve"> rispetto agli adempimenti condotti con rendicontazione dei relativi costi sostenuti. </w:t>
      </w:r>
      <w:r w:rsidRPr="00DA23C5">
        <w:rPr>
          <w:rFonts w:ascii="Verdana" w:hAnsi="Verdana"/>
          <w:sz w:val="18"/>
          <w:szCs w:val="18"/>
        </w:rPr>
        <w:t xml:space="preserve">Il Collegio Sindacale, al fine di partecipare alle riunioni del </w:t>
      </w:r>
      <w:proofErr w:type="spellStart"/>
      <w:r w:rsidRPr="00DA23C5">
        <w:rPr>
          <w:rFonts w:ascii="Verdana" w:hAnsi="Verdana"/>
          <w:sz w:val="18"/>
          <w:szCs w:val="18"/>
        </w:rPr>
        <w:t>CdA</w:t>
      </w:r>
      <w:proofErr w:type="spellEnd"/>
      <w:r w:rsidRPr="00DA23C5">
        <w:rPr>
          <w:rFonts w:ascii="Verdana" w:hAnsi="Verdana"/>
          <w:sz w:val="18"/>
          <w:szCs w:val="18"/>
        </w:rPr>
        <w:t xml:space="preserve"> previa adeguata informativa, riceve regolarmente tutti gli atti/documenti istruttori redatti per il </w:t>
      </w:r>
      <w:proofErr w:type="spellStart"/>
      <w:r w:rsidRPr="00DA23C5">
        <w:rPr>
          <w:rFonts w:ascii="Verdana" w:hAnsi="Verdana"/>
          <w:sz w:val="18"/>
          <w:szCs w:val="18"/>
        </w:rPr>
        <w:t>CdA</w:t>
      </w:r>
      <w:proofErr w:type="spellEnd"/>
      <w:r w:rsidRPr="00DA23C5">
        <w:rPr>
          <w:rFonts w:ascii="Verdana" w:hAnsi="Verdana"/>
          <w:sz w:val="18"/>
          <w:szCs w:val="18"/>
        </w:rPr>
        <w:t xml:space="preserve"> e per l’Assemblea. </w:t>
      </w:r>
    </w:p>
    <w:p w:rsidR="00B85D53" w:rsidRPr="00DA23C5" w:rsidRDefault="00B85D53" w:rsidP="00071495">
      <w:pPr>
        <w:jc w:val="both"/>
        <w:rPr>
          <w:rFonts w:ascii="Verdana" w:hAnsi="Verdana"/>
          <w:sz w:val="18"/>
          <w:szCs w:val="18"/>
        </w:rPr>
      </w:pPr>
      <w:r w:rsidRPr="00DA23C5">
        <w:rPr>
          <w:rFonts w:ascii="Verdana" w:hAnsi="Verdana"/>
          <w:sz w:val="18"/>
          <w:szCs w:val="18"/>
        </w:rPr>
        <w:t>In merito all’attività di</w:t>
      </w:r>
      <w:r w:rsidRPr="00DA23C5">
        <w:rPr>
          <w:rFonts w:ascii="Verdana" w:hAnsi="Verdana"/>
          <w:b/>
          <w:sz w:val="18"/>
          <w:szCs w:val="18"/>
        </w:rPr>
        <w:t xml:space="preserve"> </w:t>
      </w:r>
      <w:r w:rsidRPr="00DA23C5">
        <w:rPr>
          <w:rFonts w:ascii="Verdana" w:hAnsi="Verdana"/>
          <w:sz w:val="18"/>
          <w:szCs w:val="18"/>
          <w:u w:val="single"/>
        </w:rPr>
        <w:t>adottare e applicare codici di condotta sulla disciplina dei comportamenti nei confronti di consumatori, dipendenti e collaboratori e altri portatori d’interessi coinvolti nell’attività della società</w:t>
      </w:r>
      <w:r w:rsidRPr="00DA23C5">
        <w:rPr>
          <w:rFonts w:ascii="Verdana" w:hAnsi="Verdana"/>
          <w:b/>
          <w:sz w:val="18"/>
          <w:szCs w:val="18"/>
        </w:rPr>
        <w:t xml:space="preserve">, </w:t>
      </w:r>
      <w:r w:rsidRPr="00DA23C5">
        <w:rPr>
          <w:rFonts w:ascii="Verdana" w:hAnsi="Verdana"/>
          <w:sz w:val="18"/>
          <w:szCs w:val="18"/>
        </w:rPr>
        <w:t>si evidenzia che</w:t>
      </w:r>
      <w:r w:rsidRPr="00DA23C5">
        <w:rPr>
          <w:rFonts w:ascii="Verdana" w:hAnsi="Verdana"/>
          <w:b/>
          <w:sz w:val="18"/>
          <w:szCs w:val="18"/>
        </w:rPr>
        <w:t xml:space="preserve"> </w:t>
      </w:r>
      <w:r w:rsidRPr="00DA23C5">
        <w:rPr>
          <w:rFonts w:ascii="Verdana" w:hAnsi="Verdana"/>
          <w:sz w:val="18"/>
          <w:szCs w:val="18"/>
        </w:rPr>
        <w:t xml:space="preserve">è vigente, a partire dal 2006 un Codice Etico redatto ed adottato al fine di definire ed esprimere i valori e le responsabilità etiche fondamentali che la Società segue nella conduzione degli affari e delle proprie attività aziendali, individuando il complesso di diritti, doveri e responsabilità che la stessa assume espressamente nei confronti dei propri </w:t>
      </w:r>
      <w:r w:rsidRPr="00DA23C5">
        <w:rPr>
          <w:rFonts w:ascii="Verdana" w:hAnsi="Verdana"/>
          <w:i/>
          <w:sz w:val="18"/>
          <w:szCs w:val="18"/>
        </w:rPr>
        <w:t>Stakeholder</w:t>
      </w:r>
      <w:r w:rsidRPr="00DA23C5">
        <w:rPr>
          <w:rFonts w:ascii="Verdana" w:hAnsi="Verdana"/>
          <w:sz w:val="18"/>
          <w:szCs w:val="18"/>
        </w:rPr>
        <w:t>. Nel rispetto di tale Codice, le condotte e i rapporti, a tutti i livelli aziendali, devono essere improntati a principi di onestà, correttezza, trasparenza, riservatezza, imparzialità, diligenza, lealtà e reciproco rispetto.</w:t>
      </w:r>
    </w:p>
    <w:p w:rsidR="00B85D53" w:rsidRPr="00DA23C5" w:rsidRDefault="00B85D53" w:rsidP="00071495">
      <w:pPr>
        <w:jc w:val="both"/>
        <w:rPr>
          <w:rFonts w:ascii="Verdana" w:hAnsi="Verdana"/>
          <w:sz w:val="18"/>
          <w:szCs w:val="18"/>
        </w:rPr>
      </w:pPr>
      <w:r w:rsidRPr="00DA23C5">
        <w:rPr>
          <w:rFonts w:ascii="Verdana" w:hAnsi="Verdana"/>
          <w:sz w:val="18"/>
          <w:szCs w:val="18"/>
        </w:rPr>
        <w:t xml:space="preserve">La Società ha adottato un regolamento in materia di </w:t>
      </w:r>
      <w:proofErr w:type="spellStart"/>
      <w:r w:rsidRPr="00DA23C5">
        <w:rPr>
          <w:rFonts w:ascii="Verdana" w:hAnsi="Verdana"/>
          <w:i/>
          <w:sz w:val="18"/>
          <w:szCs w:val="18"/>
        </w:rPr>
        <w:t>whistleblowing</w:t>
      </w:r>
      <w:proofErr w:type="spellEnd"/>
      <w:r w:rsidRPr="00DA23C5">
        <w:rPr>
          <w:rFonts w:ascii="Verdana" w:hAnsi="Verdana"/>
          <w:i/>
          <w:sz w:val="18"/>
          <w:szCs w:val="18"/>
        </w:rPr>
        <w:t xml:space="preserve"> </w:t>
      </w:r>
      <w:r w:rsidRPr="00DA23C5">
        <w:rPr>
          <w:rFonts w:ascii="Verdana" w:hAnsi="Verdana"/>
          <w:sz w:val="18"/>
          <w:szCs w:val="18"/>
        </w:rPr>
        <w:t xml:space="preserve">quale strumento di prevenzione e di supporto all’anticorruzione, tutelando il personale dipendente e gli </w:t>
      </w:r>
      <w:r w:rsidRPr="00DA23C5">
        <w:rPr>
          <w:rFonts w:ascii="Verdana" w:hAnsi="Verdana"/>
          <w:i/>
          <w:sz w:val="18"/>
          <w:szCs w:val="18"/>
        </w:rPr>
        <w:t>stakeholder</w:t>
      </w:r>
      <w:r w:rsidRPr="00DA23C5">
        <w:rPr>
          <w:rFonts w:ascii="Verdana" w:hAnsi="Verdana"/>
          <w:sz w:val="18"/>
          <w:szCs w:val="18"/>
        </w:rPr>
        <w:t xml:space="preserve"> in generale che sono invitati a segnalare potenziali condotte illecite di cui venissero a conoscenza.</w:t>
      </w:r>
    </w:p>
    <w:p w:rsidR="00B85D53" w:rsidRPr="00DA23C5" w:rsidRDefault="00B85D53" w:rsidP="00071495">
      <w:pPr>
        <w:jc w:val="both"/>
        <w:rPr>
          <w:rFonts w:ascii="Verdana" w:hAnsi="Verdana"/>
          <w:sz w:val="18"/>
          <w:szCs w:val="18"/>
        </w:rPr>
      </w:pPr>
      <w:r w:rsidRPr="00DA23C5">
        <w:rPr>
          <w:rFonts w:ascii="Verdana" w:hAnsi="Verdana"/>
          <w:sz w:val="18"/>
          <w:szCs w:val="18"/>
        </w:rPr>
        <w:t>Nel corso del 2021 è stata avviata e si completerà nel 2022, un’attività di riesame ed aggiornamento dei principali strumenti del vigente Modello Organizzativo. In particolare sono in corso i seguenti interventi:</w:t>
      </w:r>
    </w:p>
    <w:p w:rsidR="00B85D53" w:rsidRPr="00DA23C5" w:rsidRDefault="00B85D53" w:rsidP="00071495">
      <w:pPr>
        <w:pStyle w:val="Paragrafoelenco"/>
        <w:numPr>
          <w:ilvl w:val="0"/>
          <w:numId w:val="17"/>
        </w:numPr>
        <w:jc w:val="both"/>
        <w:rPr>
          <w:rFonts w:ascii="Verdana" w:hAnsi="Verdana"/>
          <w:sz w:val="18"/>
          <w:szCs w:val="18"/>
        </w:rPr>
      </w:pPr>
      <w:proofErr w:type="gramStart"/>
      <w:r w:rsidRPr="00DA23C5">
        <w:rPr>
          <w:rFonts w:ascii="Verdana" w:hAnsi="Verdana"/>
          <w:sz w:val="18"/>
          <w:szCs w:val="18"/>
        </w:rPr>
        <w:t>riesame</w:t>
      </w:r>
      <w:proofErr w:type="gramEnd"/>
      <w:r w:rsidRPr="00DA23C5">
        <w:rPr>
          <w:rFonts w:ascii="Verdana" w:hAnsi="Verdana"/>
          <w:sz w:val="18"/>
          <w:szCs w:val="18"/>
        </w:rPr>
        <w:t xml:space="preserve"> e aggiornamento del codice etico/ codice di comportamento; con  tale aggiornamento  è prevista l’adozione   di due documenti distinti, con il superamento dell’attuale documento unico</w:t>
      </w:r>
      <w:r w:rsidR="00786996" w:rsidRPr="00DA23C5">
        <w:rPr>
          <w:rFonts w:ascii="Verdana" w:hAnsi="Verdana"/>
          <w:sz w:val="18"/>
          <w:szCs w:val="18"/>
        </w:rPr>
        <w:t>;</w:t>
      </w:r>
    </w:p>
    <w:p w:rsidR="00B85D53" w:rsidRPr="00DA23C5" w:rsidRDefault="00B85D53" w:rsidP="00071495">
      <w:pPr>
        <w:pStyle w:val="Paragrafoelenco"/>
        <w:numPr>
          <w:ilvl w:val="0"/>
          <w:numId w:val="17"/>
        </w:numPr>
        <w:contextualSpacing/>
        <w:jc w:val="both"/>
        <w:rPr>
          <w:rFonts w:ascii="Verdana" w:hAnsi="Verdana" w:cs="Arial"/>
          <w:color w:val="000000"/>
          <w:sz w:val="18"/>
          <w:szCs w:val="18"/>
        </w:rPr>
      </w:pPr>
      <w:proofErr w:type="gramStart"/>
      <w:r w:rsidRPr="00DA23C5">
        <w:rPr>
          <w:rFonts w:ascii="Verdana" w:hAnsi="Verdana"/>
          <w:sz w:val="18"/>
          <w:szCs w:val="18"/>
        </w:rPr>
        <w:t>riesame</w:t>
      </w:r>
      <w:proofErr w:type="gramEnd"/>
      <w:r w:rsidRPr="00DA23C5">
        <w:rPr>
          <w:rFonts w:ascii="Verdana" w:hAnsi="Verdana"/>
          <w:sz w:val="18"/>
          <w:szCs w:val="18"/>
        </w:rPr>
        <w:t xml:space="preserve"> dei  flussi informativi, al fine di renderli maggiormente efficaci  in termini d</w:t>
      </w:r>
      <w:r w:rsidRPr="00DA23C5">
        <w:rPr>
          <w:rFonts w:ascii="Verdana" w:hAnsi="Verdana" w:cs="Arial"/>
          <w:color w:val="000000"/>
          <w:sz w:val="18"/>
          <w:szCs w:val="18"/>
        </w:rPr>
        <w:t>i contenuti informativi, canali di comunicazione e  regole di funzionamento</w:t>
      </w:r>
    </w:p>
    <w:p w:rsidR="00B85D53" w:rsidRPr="00DA23C5" w:rsidRDefault="00B85D53" w:rsidP="00071495">
      <w:pPr>
        <w:pStyle w:val="Paragrafoelenco"/>
        <w:numPr>
          <w:ilvl w:val="0"/>
          <w:numId w:val="17"/>
        </w:numPr>
        <w:contextualSpacing/>
        <w:jc w:val="both"/>
        <w:rPr>
          <w:rFonts w:ascii="Verdana" w:hAnsi="Verdana"/>
          <w:sz w:val="18"/>
          <w:szCs w:val="18"/>
        </w:rPr>
      </w:pPr>
      <w:proofErr w:type="gramStart"/>
      <w:r w:rsidRPr="00DA23C5">
        <w:rPr>
          <w:rFonts w:ascii="Verdana" w:hAnsi="Verdana" w:cs="Arial"/>
          <w:color w:val="000000"/>
          <w:sz w:val="18"/>
          <w:szCs w:val="18"/>
        </w:rPr>
        <w:t>riesame</w:t>
      </w:r>
      <w:proofErr w:type="gramEnd"/>
      <w:r w:rsidRPr="00DA23C5">
        <w:rPr>
          <w:rFonts w:ascii="Verdana" w:hAnsi="Verdana" w:cs="Arial"/>
          <w:color w:val="000000"/>
          <w:sz w:val="18"/>
          <w:szCs w:val="18"/>
        </w:rPr>
        <w:t xml:space="preserve"> complessivo dei “Protocolli operativi” </w:t>
      </w:r>
      <w:r w:rsidRPr="00DA23C5">
        <w:rPr>
          <w:rFonts w:ascii="Verdana" w:hAnsi="Verdana"/>
          <w:sz w:val="18"/>
          <w:szCs w:val="18"/>
        </w:rPr>
        <w:t xml:space="preserve">oltre al periodico  aggiornamento del </w:t>
      </w:r>
      <w:proofErr w:type="spellStart"/>
      <w:r w:rsidRPr="00DA23C5">
        <w:rPr>
          <w:rFonts w:ascii="Verdana" w:hAnsi="Verdana"/>
          <w:sz w:val="18"/>
          <w:szCs w:val="18"/>
        </w:rPr>
        <w:t>risk</w:t>
      </w:r>
      <w:proofErr w:type="spellEnd"/>
      <w:r w:rsidRPr="00DA23C5">
        <w:rPr>
          <w:rFonts w:ascii="Verdana" w:hAnsi="Verdana"/>
          <w:sz w:val="18"/>
          <w:szCs w:val="18"/>
        </w:rPr>
        <w:t xml:space="preserve"> </w:t>
      </w:r>
      <w:proofErr w:type="spellStart"/>
      <w:r w:rsidRPr="00DA23C5">
        <w:rPr>
          <w:rFonts w:ascii="Verdana" w:hAnsi="Verdana"/>
          <w:sz w:val="18"/>
          <w:szCs w:val="18"/>
        </w:rPr>
        <w:t>assessment</w:t>
      </w:r>
      <w:proofErr w:type="spellEnd"/>
      <w:r w:rsidRPr="00DA23C5">
        <w:rPr>
          <w:rFonts w:ascii="Verdana" w:hAnsi="Verdana"/>
          <w:sz w:val="18"/>
          <w:szCs w:val="18"/>
        </w:rPr>
        <w:t>.</w:t>
      </w:r>
    </w:p>
    <w:p w:rsidR="00407873" w:rsidRPr="00DA23C5" w:rsidRDefault="00407873" w:rsidP="00071495">
      <w:pPr>
        <w:jc w:val="both"/>
        <w:rPr>
          <w:rFonts w:ascii="Verdana" w:hAnsi="Verdana"/>
          <w:b/>
          <w:color w:val="FF0000"/>
          <w:sz w:val="18"/>
          <w:szCs w:val="18"/>
        </w:rPr>
      </w:pPr>
      <w:r w:rsidRPr="00DA23C5">
        <w:rPr>
          <w:rFonts w:ascii="Verdana" w:hAnsi="Verdana"/>
          <w:b/>
          <w:sz w:val="18"/>
          <w:szCs w:val="18"/>
        </w:rPr>
        <w:t xml:space="preserve">Comma 3, lettera d): operare secondo programmi di responsabilità sociale d’impresa </w:t>
      </w:r>
    </w:p>
    <w:p w:rsidR="00F0423E" w:rsidRPr="00DA23C5" w:rsidRDefault="00F0423E" w:rsidP="00F0423E">
      <w:pPr>
        <w:jc w:val="both"/>
        <w:rPr>
          <w:rFonts w:ascii="Verdana" w:hAnsi="Verdana"/>
          <w:sz w:val="18"/>
          <w:szCs w:val="18"/>
        </w:rPr>
      </w:pPr>
      <w:r w:rsidRPr="00DA23C5">
        <w:rPr>
          <w:rFonts w:ascii="Verdana" w:hAnsi="Verdana"/>
          <w:sz w:val="18"/>
          <w:szCs w:val="18"/>
        </w:rPr>
        <w:t>Sin dalle sue origini la società ha sostenuto lo sviluppo del territorio romagnolo in termini rispettosi degli equilibri sociali ed ambientali, facendo della “sostenibilità” una linea guida del proprio agire e individuando nel Bilancio Integrato (dal 2019 ex D.lgs. 254/2016) un efficace strumento di comunicazione su questi temi (si rinvia al sito istituzionale dove è pubblicato il Bilancio Integrato 2021).</w:t>
      </w:r>
    </w:p>
    <w:p w:rsidR="00407873" w:rsidRPr="00DA23C5" w:rsidRDefault="00407873" w:rsidP="00071495">
      <w:pPr>
        <w:pStyle w:val="Corpotesto"/>
        <w:numPr>
          <w:ilvl w:val="0"/>
          <w:numId w:val="1"/>
        </w:numPr>
        <w:tabs>
          <w:tab w:val="left" w:pos="709"/>
          <w:tab w:val="left" w:pos="993"/>
        </w:tabs>
        <w:spacing w:line="240" w:lineRule="auto"/>
        <w:ind w:left="360"/>
        <w:rPr>
          <w:rFonts w:ascii="Verdana" w:hAnsi="Verdana"/>
          <w:b/>
          <w:sz w:val="18"/>
          <w:szCs w:val="18"/>
        </w:rPr>
      </w:pPr>
      <w:r w:rsidRPr="00DA23C5">
        <w:rPr>
          <w:rFonts w:ascii="Verdana" w:hAnsi="Verdana"/>
          <w:b/>
          <w:sz w:val="18"/>
          <w:szCs w:val="18"/>
        </w:rPr>
        <w:t xml:space="preserve">Disposizioni e Vincoli sugli organi amministrativi e di controllo nelle società a controllo pubblico (art. 11 D. </w:t>
      </w:r>
      <w:proofErr w:type="spellStart"/>
      <w:r w:rsidRPr="00DA23C5">
        <w:rPr>
          <w:rFonts w:ascii="Verdana" w:hAnsi="Verdana"/>
          <w:b/>
          <w:sz w:val="18"/>
          <w:szCs w:val="18"/>
        </w:rPr>
        <w:t>Lgs</w:t>
      </w:r>
      <w:proofErr w:type="spellEnd"/>
      <w:r w:rsidRPr="00DA23C5">
        <w:rPr>
          <w:rFonts w:ascii="Verdana" w:hAnsi="Verdana"/>
          <w:b/>
          <w:sz w:val="18"/>
          <w:szCs w:val="18"/>
        </w:rPr>
        <w:t xml:space="preserve">. 175) </w:t>
      </w:r>
    </w:p>
    <w:p w:rsidR="00531E23" w:rsidRPr="00DA23C5" w:rsidRDefault="00531E23" w:rsidP="00531E23">
      <w:pPr>
        <w:pStyle w:val="Corpotesto"/>
        <w:numPr>
          <w:ilvl w:val="12"/>
          <w:numId w:val="0"/>
        </w:numPr>
        <w:tabs>
          <w:tab w:val="left" w:pos="709"/>
          <w:tab w:val="left" w:pos="993"/>
        </w:tabs>
        <w:spacing w:line="240" w:lineRule="auto"/>
        <w:rPr>
          <w:rFonts w:ascii="Verdana" w:hAnsi="Verdana"/>
          <w:sz w:val="18"/>
          <w:szCs w:val="18"/>
        </w:rPr>
      </w:pPr>
      <w:r w:rsidRPr="00DA23C5">
        <w:rPr>
          <w:rFonts w:ascii="Verdana" w:hAnsi="Verdana"/>
          <w:sz w:val="18"/>
          <w:szCs w:val="18"/>
        </w:rPr>
        <w:t>Il Ministero dell’Economia e delle Finanze ha recentemente predisposto lo schema del decreto recante il “</w:t>
      </w:r>
      <w:r w:rsidRPr="00DA23C5">
        <w:rPr>
          <w:rFonts w:ascii="Verdana" w:hAnsi="Verdana"/>
          <w:i/>
          <w:iCs/>
          <w:sz w:val="18"/>
          <w:szCs w:val="18"/>
        </w:rPr>
        <w:t>Regolamento relativo ai compensi delle società non quotate a controllo pubblico ai sensi dell’art. 11, comma 6, del d.lgs. 175/2016</w:t>
      </w:r>
      <w:r w:rsidRPr="00DA23C5">
        <w:rPr>
          <w:rFonts w:ascii="Verdana" w:hAnsi="Verdana"/>
          <w:sz w:val="18"/>
          <w:szCs w:val="18"/>
        </w:rPr>
        <w:t xml:space="preserve">”. Prima della sua definitiva approvazione la bozza del </w:t>
      </w:r>
      <w:proofErr w:type="spellStart"/>
      <w:r w:rsidRPr="00DA23C5">
        <w:rPr>
          <w:rFonts w:ascii="Verdana" w:hAnsi="Verdana"/>
          <w:sz w:val="18"/>
          <w:szCs w:val="18"/>
        </w:rPr>
        <w:t>d.m.</w:t>
      </w:r>
      <w:proofErr w:type="spellEnd"/>
      <w:r w:rsidRPr="00DA23C5">
        <w:rPr>
          <w:rFonts w:ascii="Verdana" w:hAnsi="Verdana"/>
          <w:sz w:val="18"/>
          <w:szCs w:val="18"/>
        </w:rPr>
        <w:t xml:space="preserve"> dovrà acquisire il parere favorevole delle competenti Commissioni parlamentari e del Consiglio di Stato. Il testo proposto dal MEF dovrà essere inoltre condiviso in seno alla Conferenza unificata affinché sia raggiunta la necessaria intesa con le regioni e gli enti locali. Si precisa che, ai sensi dell’art. 5, comma 2, del citato schema di </w:t>
      </w:r>
      <w:proofErr w:type="spellStart"/>
      <w:r w:rsidRPr="00DA23C5">
        <w:rPr>
          <w:rFonts w:ascii="Verdana" w:hAnsi="Verdana"/>
          <w:sz w:val="18"/>
          <w:szCs w:val="18"/>
        </w:rPr>
        <w:t>d.m.</w:t>
      </w:r>
      <w:proofErr w:type="spellEnd"/>
      <w:r w:rsidRPr="00DA23C5">
        <w:rPr>
          <w:rFonts w:ascii="Verdana" w:hAnsi="Verdana"/>
          <w:sz w:val="18"/>
          <w:szCs w:val="18"/>
        </w:rPr>
        <w:t xml:space="preserve">, le disposizioni in esso contenute troveranno applicazione soltanto ai contratti stipulati e agli atti emanati successivamente alla data di pubblicazione del </w:t>
      </w:r>
      <w:proofErr w:type="spellStart"/>
      <w:r w:rsidRPr="00DA23C5">
        <w:rPr>
          <w:rFonts w:ascii="Verdana" w:hAnsi="Verdana"/>
          <w:sz w:val="18"/>
          <w:szCs w:val="18"/>
        </w:rPr>
        <w:t>d.m.</w:t>
      </w:r>
      <w:proofErr w:type="spellEnd"/>
      <w:r w:rsidRPr="00DA23C5">
        <w:rPr>
          <w:rFonts w:ascii="Verdana" w:hAnsi="Verdana"/>
          <w:sz w:val="18"/>
          <w:szCs w:val="18"/>
        </w:rPr>
        <w:t xml:space="preserve"> nella Gazzetta Ufficiale.</w:t>
      </w:r>
    </w:p>
    <w:p w:rsidR="00531E23" w:rsidRPr="00DA23C5" w:rsidRDefault="00531E23" w:rsidP="00531E23">
      <w:pPr>
        <w:pStyle w:val="Corpotesto"/>
        <w:numPr>
          <w:ilvl w:val="12"/>
          <w:numId w:val="0"/>
        </w:numPr>
        <w:tabs>
          <w:tab w:val="left" w:pos="709"/>
          <w:tab w:val="left" w:pos="993"/>
        </w:tabs>
        <w:spacing w:line="240" w:lineRule="auto"/>
        <w:rPr>
          <w:rFonts w:ascii="Verdana" w:hAnsi="Verdana"/>
          <w:sz w:val="18"/>
          <w:szCs w:val="18"/>
        </w:rPr>
      </w:pPr>
      <w:r w:rsidRPr="00DA23C5">
        <w:rPr>
          <w:rFonts w:ascii="Verdana" w:hAnsi="Verdana"/>
          <w:sz w:val="18"/>
          <w:szCs w:val="18"/>
        </w:rPr>
        <w:t>Preso atto che alla data odierna si è ancora in attesa dell’adozione dei provvedimenti attuativi previsti dall’art. 11, commi 1 e 6, si conferma che è tuttora vigente quanto previsto dall’art. 4, comma 4, secondo periodo del D.L. n. 95/2012 (</w:t>
      </w:r>
      <w:proofErr w:type="spellStart"/>
      <w:r w:rsidRPr="00DA23C5">
        <w:rPr>
          <w:rFonts w:ascii="Verdana" w:hAnsi="Verdana"/>
          <w:sz w:val="18"/>
          <w:szCs w:val="18"/>
        </w:rPr>
        <w:t>conv</w:t>
      </w:r>
      <w:proofErr w:type="spellEnd"/>
      <w:r w:rsidRPr="00DA23C5">
        <w:rPr>
          <w:rFonts w:ascii="Verdana" w:hAnsi="Verdana"/>
          <w:sz w:val="18"/>
          <w:szCs w:val="18"/>
        </w:rPr>
        <w:t xml:space="preserve">. </w:t>
      </w:r>
      <w:proofErr w:type="gramStart"/>
      <w:r w:rsidRPr="00DA23C5">
        <w:rPr>
          <w:rFonts w:ascii="Verdana" w:hAnsi="Verdana"/>
          <w:sz w:val="18"/>
          <w:szCs w:val="18"/>
        </w:rPr>
        <w:t>con</w:t>
      </w:r>
      <w:proofErr w:type="gramEnd"/>
      <w:r w:rsidRPr="00DA23C5">
        <w:rPr>
          <w:rFonts w:ascii="Verdana" w:hAnsi="Verdana"/>
          <w:sz w:val="18"/>
          <w:szCs w:val="18"/>
        </w:rPr>
        <w:t xml:space="preserve"> </w:t>
      </w:r>
      <w:proofErr w:type="spellStart"/>
      <w:r w:rsidRPr="00DA23C5">
        <w:rPr>
          <w:rFonts w:ascii="Verdana" w:hAnsi="Verdana"/>
          <w:sz w:val="18"/>
          <w:szCs w:val="18"/>
        </w:rPr>
        <w:t>mod</w:t>
      </w:r>
      <w:proofErr w:type="spellEnd"/>
      <w:r w:rsidRPr="00DA23C5">
        <w:rPr>
          <w:rFonts w:ascii="Verdana" w:hAnsi="Verdana"/>
          <w:sz w:val="18"/>
          <w:szCs w:val="18"/>
        </w:rPr>
        <w:t>. dalla L. n. 135/2012) che recita: «</w:t>
      </w:r>
      <w:r w:rsidRPr="00DA23C5">
        <w:rPr>
          <w:rFonts w:ascii="Verdana" w:hAnsi="Verdana"/>
          <w:i/>
          <w:iCs/>
          <w:sz w:val="18"/>
          <w:szCs w:val="18"/>
        </w:rPr>
        <w:t>A decorrere dal primo gennaio 2015, il costo annuale sostenuto per i compensi degli Amministratori di tali società, ivi compresa la remunerazione di quelli investiti di particolari cariche, non può superare l'80 per cento del costo complessivamente sostenuto nell'anno 2013</w:t>
      </w:r>
      <w:r w:rsidRPr="00DA23C5">
        <w:rPr>
          <w:rFonts w:ascii="Verdana" w:hAnsi="Verdana"/>
          <w:sz w:val="18"/>
          <w:szCs w:val="18"/>
        </w:rPr>
        <w:t xml:space="preserve">». </w:t>
      </w:r>
    </w:p>
    <w:p w:rsidR="00531E23" w:rsidRPr="00DA23C5" w:rsidRDefault="00531E23" w:rsidP="00531E23">
      <w:pPr>
        <w:pStyle w:val="Corpotesto"/>
        <w:numPr>
          <w:ilvl w:val="12"/>
          <w:numId w:val="0"/>
        </w:numPr>
        <w:spacing w:line="240" w:lineRule="auto"/>
        <w:rPr>
          <w:rFonts w:ascii="Verdana" w:hAnsi="Verdana"/>
          <w:sz w:val="18"/>
          <w:szCs w:val="18"/>
        </w:rPr>
      </w:pPr>
      <w:r w:rsidRPr="00DA23C5">
        <w:rPr>
          <w:rFonts w:ascii="Verdana" w:hAnsi="Verdana"/>
          <w:sz w:val="18"/>
          <w:szCs w:val="18"/>
        </w:rPr>
        <w:t xml:space="preserve">In merito ai compensi di preconsuntivo 2022 ai componenti del </w:t>
      </w:r>
      <w:proofErr w:type="spellStart"/>
      <w:r w:rsidRPr="00DA23C5">
        <w:rPr>
          <w:rFonts w:ascii="Verdana" w:hAnsi="Verdana"/>
          <w:sz w:val="18"/>
          <w:szCs w:val="18"/>
        </w:rPr>
        <w:t>CdA</w:t>
      </w:r>
      <w:proofErr w:type="spellEnd"/>
      <w:r w:rsidRPr="00DA23C5">
        <w:rPr>
          <w:rFonts w:ascii="Verdana" w:hAnsi="Verdana"/>
          <w:sz w:val="18"/>
          <w:szCs w:val="18"/>
        </w:rPr>
        <w:t xml:space="preserve"> e del Collegio Sindacale si evidenzia quanto segue:</w:t>
      </w:r>
    </w:p>
    <w:p w:rsidR="00531E23" w:rsidRPr="00DA23C5" w:rsidRDefault="00531E23" w:rsidP="00531E23">
      <w:pPr>
        <w:pStyle w:val="Corpotesto"/>
        <w:numPr>
          <w:ilvl w:val="0"/>
          <w:numId w:val="11"/>
        </w:numPr>
        <w:tabs>
          <w:tab w:val="clear" w:pos="4536"/>
        </w:tabs>
        <w:spacing w:line="240" w:lineRule="auto"/>
        <w:rPr>
          <w:rFonts w:ascii="Verdana" w:hAnsi="Verdana"/>
          <w:sz w:val="18"/>
          <w:szCs w:val="18"/>
        </w:rPr>
      </w:pPr>
      <w:r w:rsidRPr="00DA23C5">
        <w:rPr>
          <w:rFonts w:ascii="Verdana" w:hAnsi="Verdana"/>
          <w:sz w:val="18"/>
          <w:szCs w:val="18"/>
        </w:rPr>
        <w:t xml:space="preserve">l’Assemblea con delibera n. 10/2019 ha nominato il Consiglio di Amministrazione e il Presidente e con delibera n.11/2019 ne ha determinato i relativi compensi nel rispetto delle disposizioni vigenti, compensi attribuiti fino alla data di scadenza degli organi stessi in concomitanza con l’approvazione assembleare del bilancio di esercizio 2021 avvenuta il 29/6/2022; l’Assemblea con delibera n. 4 del 29 giugno 2022 ha nominato il nuovo Consiglio di Amministrazione e il Presidente quindi con delibera n. 5/2022 ne ha determinato i relativi compensi nel rispetto delle disposizioni vigenti e di fatto confermando i compensi precedentemente attribuiti; tali organi andranno in scadenza con l’approvazione assembleare del bilancio di esercizio 2024; </w:t>
      </w:r>
    </w:p>
    <w:p w:rsidR="00531E23" w:rsidRPr="00DA23C5" w:rsidRDefault="00531E23" w:rsidP="00531E23">
      <w:pPr>
        <w:pStyle w:val="Corpotesto"/>
        <w:numPr>
          <w:ilvl w:val="0"/>
          <w:numId w:val="11"/>
        </w:numPr>
        <w:spacing w:line="240" w:lineRule="auto"/>
        <w:rPr>
          <w:rFonts w:ascii="Verdana" w:hAnsi="Verdana"/>
          <w:sz w:val="18"/>
          <w:szCs w:val="18"/>
        </w:rPr>
      </w:pPr>
      <w:r w:rsidRPr="00DA23C5">
        <w:rPr>
          <w:rFonts w:ascii="Verdana" w:hAnsi="Verdana"/>
          <w:sz w:val="18"/>
          <w:szCs w:val="18"/>
        </w:rPr>
        <w:t xml:space="preserve">l’Assemblea con deliberazione n. 3/2021 ha nominato il Collegio Sindacale e ne ha fissato i relativi compensi tenuto conto delle disposizioni dell’art.6, comma 3, del D.L. n. 78/2010, (convertito con modifiche nella L.122/2010), il tutto in continuità con i compensi precedentemente attribuiti, tale organo andrà in scadenza con l’approvazione assembleare del bilancio di esercizio 2023; a seguito delle dimissioni di un Sindaco effettivo avvenuta nei primi mesi del 2022 l’Assemblea dei Soci con deliberazione n. 6/2022, ha provveduto alla nomina del sostituto unitamente alla nomina di un Sindaco supplente, confermando i compensi al Sindaco effettivo come </w:t>
      </w:r>
      <w:proofErr w:type="spellStart"/>
      <w:r w:rsidRPr="00DA23C5">
        <w:rPr>
          <w:rFonts w:ascii="Verdana" w:hAnsi="Verdana"/>
          <w:sz w:val="18"/>
          <w:szCs w:val="18"/>
        </w:rPr>
        <w:t>da</w:t>
      </w:r>
      <w:proofErr w:type="spellEnd"/>
      <w:r w:rsidRPr="00DA23C5">
        <w:rPr>
          <w:rFonts w:ascii="Verdana" w:hAnsi="Verdana"/>
          <w:sz w:val="18"/>
          <w:szCs w:val="18"/>
        </w:rPr>
        <w:t xml:space="preserve"> propria deliberazione n. 3/2021. </w:t>
      </w:r>
    </w:p>
    <w:p w:rsidR="00531E23" w:rsidRPr="00DA23C5" w:rsidRDefault="00531E23" w:rsidP="00531E23">
      <w:pPr>
        <w:pStyle w:val="Corpotesto"/>
        <w:numPr>
          <w:ilvl w:val="12"/>
          <w:numId w:val="0"/>
        </w:numPr>
        <w:spacing w:line="240" w:lineRule="auto"/>
        <w:rPr>
          <w:rFonts w:ascii="Verdana" w:hAnsi="Verdana"/>
          <w:sz w:val="18"/>
          <w:szCs w:val="18"/>
        </w:rPr>
      </w:pPr>
      <w:r w:rsidRPr="00DA23C5">
        <w:rPr>
          <w:rFonts w:ascii="Verdana" w:hAnsi="Verdana"/>
          <w:sz w:val="18"/>
          <w:szCs w:val="18"/>
        </w:rPr>
        <w:lastRenderedPageBreak/>
        <w:t xml:space="preserve">Di seguito il dettaglio dei compensi attribuiti e relativi costi di preconsuntivo 2022 e di </w:t>
      </w:r>
      <w:proofErr w:type="spellStart"/>
      <w:r w:rsidRPr="00DA23C5">
        <w:rPr>
          <w:rFonts w:ascii="Verdana" w:hAnsi="Verdana"/>
          <w:sz w:val="18"/>
          <w:szCs w:val="18"/>
        </w:rPr>
        <w:t>bdg</w:t>
      </w:r>
      <w:proofErr w:type="spellEnd"/>
      <w:r w:rsidRPr="00DA23C5">
        <w:rPr>
          <w:rFonts w:ascii="Verdana" w:hAnsi="Verdana"/>
          <w:sz w:val="18"/>
          <w:szCs w:val="18"/>
        </w:rPr>
        <w:t xml:space="preserve"> 2023: </w:t>
      </w:r>
    </w:p>
    <w:tbl>
      <w:tblPr>
        <w:tblW w:w="978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72"/>
        <w:gridCol w:w="1636"/>
        <w:gridCol w:w="1636"/>
        <w:gridCol w:w="1985"/>
        <w:gridCol w:w="1559"/>
      </w:tblGrid>
      <w:tr w:rsidR="00531E23" w:rsidRPr="00DA23C5" w:rsidTr="00446271">
        <w:trPr>
          <w:cantSplit/>
          <w:trHeight w:val="243"/>
        </w:trPr>
        <w:tc>
          <w:tcPr>
            <w:tcW w:w="2972" w:type="dxa"/>
            <w:tcBorders>
              <w:top w:val="nil"/>
              <w:left w:val="nil"/>
              <w:bottom w:val="single" w:sz="6" w:space="0" w:color="auto"/>
              <w:right w:val="single" w:sz="6" w:space="0" w:color="auto"/>
            </w:tcBorders>
            <w:hideMark/>
          </w:tcPr>
          <w:p w:rsidR="00531E23" w:rsidRPr="00DA23C5" w:rsidRDefault="00531E23" w:rsidP="00531E23">
            <w:pPr>
              <w:numPr>
                <w:ilvl w:val="12"/>
                <w:numId w:val="0"/>
              </w:numPr>
              <w:jc w:val="center"/>
              <w:rPr>
                <w:rFonts w:ascii="Verdana" w:hAnsi="Verdana"/>
                <w:b/>
                <w:sz w:val="18"/>
                <w:szCs w:val="18"/>
                <w:highlight w:val="yellow"/>
              </w:rPr>
            </w:pPr>
          </w:p>
        </w:tc>
        <w:tc>
          <w:tcPr>
            <w:tcW w:w="1636" w:type="dxa"/>
            <w:tcBorders>
              <w:top w:val="single" w:sz="6" w:space="0" w:color="auto"/>
              <w:left w:val="single" w:sz="6" w:space="0" w:color="auto"/>
              <w:bottom w:val="single" w:sz="6" w:space="0" w:color="auto"/>
              <w:right w:val="single" w:sz="6" w:space="0" w:color="auto"/>
            </w:tcBorders>
            <w:vAlign w:val="bottom"/>
          </w:tcPr>
          <w:p w:rsidR="00531E23" w:rsidRPr="00DA23C5" w:rsidRDefault="00531E23" w:rsidP="00531E23">
            <w:pPr>
              <w:rPr>
                <w:rFonts w:ascii="Verdana" w:hAnsi="Verdana"/>
                <w:b/>
                <w:bCs/>
                <w:sz w:val="18"/>
                <w:szCs w:val="18"/>
              </w:rPr>
            </w:pPr>
            <w:proofErr w:type="spellStart"/>
            <w:proofErr w:type="gramStart"/>
            <w:r w:rsidRPr="00DA23C5">
              <w:rPr>
                <w:rFonts w:ascii="Verdana" w:hAnsi="Verdana"/>
                <w:b/>
                <w:bCs/>
                <w:sz w:val="18"/>
                <w:szCs w:val="18"/>
              </w:rPr>
              <w:t>bdg</w:t>
            </w:r>
            <w:proofErr w:type="spellEnd"/>
            <w:proofErr w:type="gramEnd"/>
            <w:r w:rsidRPr="00DA23C5">
              <w:rPr>
                <w:rFonts w:ascii="Verdana" w:hAnsi="Verdana"/>
                <w:b/>
                <w:bCs/>
                <w:sz w:val="18"/>
                <w:szCs w:val="18"/>
              </w:rPr>
              <w:t xml:space="preserve"> 2023</w:t>
            </w:r>
          </w:p>
        </w:tc>
        <w:tc>
          <w:tcPr>
            <w:tcW w:w="1636" w:type="dxa"/>
            <w:tcBorders>
              <w:top w:val="single" w:sz="6" w:space="0" w:color="auto"/>
              <w:left w:val="single" w:sz="6" w:space="0" w:color="auto"/>
              <w:bottom w:val="single" w:sz="6" w:space="0" w:color="auto"/>
              <w:right w:val="single" w:sz="6" w:space="0" w:color="auto"/>
            </w:tcBorders>
            <w:vAlign w:val="bottom"/>
          </w:tcPr>
          <w:p w:rsidR="00531E23" w:rsidRPr="00DA23C5" w:rsidRDefault="00531E23" w:rsidP="00531E23">
            <w:pPr>
              <w:rPr>
                <w:rFonts w:ascii="Verdana" w:hAnsi="Verdana"/>
                <w:b/>
                <w:bCs/>
                <w:sz w:val="18"/>
                <w:szCs w:val="18"/>
              </w:rPr>
            </w:pPr>
            <w:proofErr w:type="spellStart"/>
            <w:proofErr w:type="gramStart"/>
            <w:r w:rsidRPr="00DA23C5">
              <w:rPr>
                <w:rFonts w:ascii="Verdana" w:hAnsi="Verdana"/>
                <w:b/>
                <w:bCs/>
                <w:sz w:val="18"/>
                <w:szCs w:val="18"/>
              </w:rPr>
              <w:t>precons</w:t>
            </w:r>
            <w:proofErr w:type="spellEnd"/>
            <w:proofErr w:type="gramEnd"/>
            <w:r w:rsidRPr="00DA23C5">
              <w:rPr>
                <w:rFonts w:ascii="Verdana" w:hAnsi="Verdana"/>
                <w:b/>
                <w:bCs/>
                <w:sz w:val="18"/>
                <w:szCs w:val="18"/>
              </w:rPr>
              <w:t xml:space="preserve"> 2022</w:t>
            </w:r>
          </w:p>
        </w:tc>
        <w:tc>
          <w:tcPr>
            <w:tcW w:w="1985" w:type="dxa"/>
            <w:tcBorders>
              <w:top w:val="single" w:sz="6" w:space="0" w:color="auto"/>
              <w:left w:val="single" w:sz="6" w:space="0" w:color="auto"/>
              <w:bottom w:val="single" w:sz="6" w:space="0" w:color="auto"/>
              <w:right w:val="single" w:sz="6" w:space="0" w:color="auto"/>
            </w:tcBorders>
            <w:vAlign w:val="bottom"/>
          </w:tcPr>
          <w:p w:rsidR="00531E23" w:rsidRPr="00DA23C5" w:rsidRDefault="00531E23" w:rsidP="00531E23">
            <w:pPr>
              <w:rPr>
                <w:rFonts w:ascii="Verdana" w:hAnsi="Verdana"/>
                <w:b/>
                <w:bCs/>
                <w:sz w:val="18"/>
                <w:szCs w:val="18"/>
                <w:lang w:eastAsia="it-IT"/>
              </w:rPr>
            </w:pPr>
            <w:proofErr w:type="spellStart"/>
            <w:proofErr w:type="gramStart"/>
            <w:r w:rsidRPr="00DA23C5">
              <w:rPr>
                <w:rFonts w:ascii="Verdana" w:hAnsi="Verdana"/>
                <w:b/>
                <w:bCs/>
                <w:sz w:val="18"/>
                <w:szCs w:val="18"/>
              </w:rPr>
              <w:t>bdg</w:t>
            </w:r>
            <w:proofErr w:type="spellEnd"/>
            <w:proofErr w:type="gramEnd"/>
            <w:r w:rsidRPr="00DA23C5">
              <w:rPr>
                <w:rFonts w:ascii="Verdana" w:hAnsi="Verdana"/>
                <w:b/>
                <w:bCs/>
                <w:sz w:val="18"/>
                <w:szCs w:val="18"/>
              </w:rPr>
              <w:t xml:space="preserve"> 2022</w:t>
            </w:r>
          </w:p>
        </w:tc>
        <w:tc>
          <w:tcPr>
            <w:tcW w:w="1559" w:type="dxa"/>
            <w:tcBorders>
              <w:top w:val="single" w:sz="6" w:space="0" w:color="auto"/>
              <w:left w:val="single" w:sz="6" w:space="0" w:color="auto"/>
              <w:bottom w:val="single" w:sz="6" w:space="0" w:color="auto"/>
              <w:right w:val="single" w:sz="6" w:space="0" w:color="auto"/>
            </w:tcBorders>
            <w:vAlign w:val="bottom"/>
          </w:tcPr>
          <w:p w:rsidR="00531E23" w:rsidRPr="00DA23C5" w:rsidRDefault="00531E23" w:rsidP="00531E23">
            <w:pPr>
              <w:rPr>
                <w:rFonts w:ascii="Verdana" w:hAnsi="Verdana"/>
                <w:b/>
                <w:bCs/>
                <w:sz w:val="18"/>
                <w:szCs w:val="18"/>
              </w:rPr>
            </w:pPr>
            <w:proofErr w:type="spellStart"/>
            <w:proofErr w:type="gramStart"/>
            <w:r w:rsidRPr="00DA23C5">
              <w:rPr>
                <w:rFonts w:ascii="Verdana" w:hAnsi="Verdana"/>
                <w:b/>
                <w:bCs/>
                <w:sz w:val="18"/>
                <w:szCs w:val="18"/>
              </w:rPr>
              <w:t>consunt</w:t>
            </w:r>
            <w:proofErr w:type="spellEnd"/>
            <w:proofErr w:type="gramEnd"/>
            <w:r w:rsidRPr="00DA23C5">
              <w:rPr>
                <w:rFonts w:ascii="Verdana" w:hAnsi="Verdana"/>
                <w:b/>
                <w:bCs/>
                <w:sz w:val="18"/>
                <w:szCs w:val="18"/>
              </w:rPr>
              <w:t xml:space="preserve"> 2021</w:t>
            </w:r>
          </w:p>
        </w:tc>
      </w:tr>
      <w:tr w:rsidR="00664BF1" w:rsidRPr="00DA23C5" w:rsidTr="00446271">
        <w:trPr>
          <w:cantSplit/>
          <w:trHeight w:val="274"/>
        </w:trPr>
        <w:tc>
          <w:tcPr>
            <w:tcW w:w="2972" w:type="dxa"/>
            <w:tcBorders>
              <w:top w:val="single" w:sz="6" w:space="0" w:color="auto"/>
              <w:left w:val="single" w:sz="6" w:space="0" w:color="auto"/>
              <w:bottom w:val="single" w:sz="6" w:space="0" w:color="auto"/>
              <w:right w:val="single" w:sz="6" w:space="0" w:color="auto"/>
            </w:tcBorders>
            <w:vAlign w:val="bottom"/>
            <w:hideMark/>
          </w:tcPr>
          <w:p w:rsidR="00664BF1" w:rsidRPr="00DA23C5" w:rsidRDefault="00664BF1" w:rsidP="00664BF1">
            <w:pPr>
              <w:rPr>
                <w:rFonts w:ascii="Verdana" w:hAnsi="Verdana"/>
                <w:color w:val="000000"/>
                <w:sz w:val="18"/>
                <w:szCs w:val="18"/>
                <w:lang w:eastAsia="it-IT"/>
              </w:rPr>
            </w:pPr>
            <w:r w:rsidRPr="00DA23C5">
              <w:rPr>
                <w:rFonts w:ascii="Verdana" w:hAnsi="Verdana"/>
                <w:color w:val="000000"/>
                <w:sz w:val="18"/>
                <w:szCs w:val="18"/>
              </w:rPr>
              <w:t xml:space="preserve">  Compensi fissi </w:t>
            </w:r>
          </w:p>
        </w:tc>
        <w:tc>
          <w:tcPr>
            <w:tcW w:w="1636"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rPr>
                <w:rFonts w:ascii="Verdana" w:hAnsi="Verdana"/>
                <w:color w:val="000000"/>
                <w:sz w:val="18"/>
                <w:szCs w:val="18"/>
                <w:lang w:eastAsia="it-IT"/>
              </w:rPr>
            </w:pPr>
            <w:r w:rsidRPr="00DA23C5">
              <w:rPr>
                <w:rFonts w:ascii="Verdana" w:hAnsi="Verdana"/>
                <w:color w:val="000000"/>
                <w:sz w:val="18"/>
                <w:szCs w:val="18"/>
              </w:rPr>
              <w:t xml:space="preserve">               94.000 </w:t>
            </w:r>
          </w:p>
        </w:tc>
        <w:tc>
          <w:tcPr>
            <w:tcW w:w="1636"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rPr>
                <w:rFonts w:ascii="Verdana" w:hAnsi="Verdana"/>
                <w:color w:val="000000"/>
                <w:sz w:val="18"/>
                <w:szCs w:val="18"/>
                <w:lang w:eastAsia="it-IT"/>
              </w:rPr>
            </w:pPr>
            <w:r w:rsidRPr="00DA23C5">
              <w:rPr>
                <w:rFonts w:ascii="Verdana" w:hAnsi="Verdana"/>
                <w:color w:val="000000"/>
                <w:sz w:val="18"/>
                <w:szCs w:val="18"/>
              </w:rPr>
              <w:t xml:space="preserve">               94.000 </w:t>
            </w:r>
          </w:p>
        </w:tc>
        <w:tc>
          <w:tcPr>
            <w:tcW w:w="1985"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jc w:val="right"/>
              <w:rPr>
                <w:rFonts w:ascii="Verdana" w:hAnsi="Verdana"/>
                <w:color w:val="000000"/>
                <w:sz w:val="18"/>
                <w:szCs w:val="18"/>
              </w:rPr>
            </w:pPr>
            <w:r w:rsidRPr="00DA23C5">
              <w:rPr>
                <w:rFonts w:ascii="Verdana" w:hAnsi="Verdana"/>
                <w:color w:val="000000"/>
                <w:sz w:val="18"/>
                <w:szCs w:val="18"/>
              </w:rPr>
              <w:t xml:space="preserve">                        93.000 </w:t>
            </w:r>
          </w:p>
        </w:tc>
        <w:tc>
          <w:tcPr>
            <w:tcW w:w="1559"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jc w:val="right"/>
              <w:rPr>
                <w:rFonts w:ascii="Verdana" w:hAnsi="Verdana"/>
                <w:color w:val="000000"/>
                <w:sz w:val="18"/>
                <w:szCs w:val="18"/>
              </w:rPr>
            </w:pPr>
            <w:r w:rsidRPr="00DA23C5">
              <w:rPr>
                <w:rFonts w:ascii="Verdana" w:hAnsi="Verdana"/>
                <w:color w:val="000000"/>
                <w:sz w:val="18"/>
                <w:szCs w:val="18"/>
              </w:rPr>
              <w:t xml:space="preserve">               96.639 </w:t>
            </w:r>
          </w:p>
        </w:tc>
      </w:tr>
      <w:tr w:rsidR="00664BF1" w:rsidRPr="00DA23C5" w:rsidTr="00446271">
        <w:trPr>
          <w:cantSplit/>
          <w:trHeight w:val="274"/>
        </w:trPr>
        <w:tc>
          <w:tcPr>
            <w:tcW w:w="2972"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rPr>
                <w:rFonts w:ascii="Verdana" w:hAnsi="Verdana"/>
                <w:color w:val="000000"/>
                <w:sz w:val="18"/>
                <w:szCs w:val="18"/>
              </w:rPr>
            </w:pPr>
            <w:r w:rsidRPr="00DA23C5">
              <w:rPr>
                <w:rFonts w:ascii="Verdana" w:hAnsi="Verdana"/>
                <w:color w:val="000000"/>
                <w:sz w:val="18"/>
                <w:szCs w:val="18"/>
              </w:rPr>
              <w:t xml:space="preserve">  Oneri INPS-INAIL  </w:t>
            </w:r>
          </w:p>
        </w:tc>
        <w:tc>
          <w:tcPr>
            <w:tcW w:w="1636"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rPr>
                <w:rFonts w:ascii="Verdana" w:hAnsi="Verdana"/>
                <w:color w:val="000000"/>
                <w:sz w:val="18"/>
                <w:szCs w:val="18"/>
              </w:rPr>
            </w:pPr>
            <w:r w:rsidRPr="00DA23C5">
              <w:rPr>
                <w:rFonts w:ascii="Verdana" w:hAnsi="Verdana"/>
                <w:color w:val="000000"/>
                <w:sz w:val="18"/>
                <w:szCs w:val="18"/>
              </w:rPr>
              <w:t xml:space="preserve">               16.000 </w:t>
            </w:r>
          </w:p>
        </w:tc>
        <w:tc>
          <w:tcPr>
            <w:tcW w:w="1636"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rPr>
                <w:rFonts w:ascii="Verdana" w:hAnsi="Verdana"/>
                <w:color w:val="000000"/>
                <w:sz w:val="18"/>
                <w:szCs w:val="18"/>
              </w:rPr>
            </w:pPr>
            <w:r w:rsidRPr="00DA23C5">
              <w:rPr>
                <w:rFonts w:ascii="Verdana" w:hAnsi="Verdana"/>
                <w:color w:val="000000"/>
                <w:sz w:val="18"/>
                <w:szCs w:val="18"/>
              </w:rPr>
              <w:t xml:space="preserve">               16.100 </w:t>
            </w:r>
          </w:p>
        </w:tc>
        <w:tc>
          <w:tcPr>
            <w:tcW w:w="1985"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jc w:val="right"/>
              <w:rPr>
                <w:rFonts w:ascii="Verdana" w:hAnsi="Verdana"/>
                <w:color w:val="000000"/>
                <w:sz w:val="18"/>
                <w:szCs w:val="18"/>
              </w:rPr>
            </w:pPr>
            <w:r w:rsidRPr="00DA23C5">
              <w:rPr>
                <w:rFonts w:ascii="Verdana" w:hAnsi="Verdana"/>
                <w:color w:val="000000"/>
                <w:sz w:val="18"/>
                <w:szCs w:val="18"/>
              </w:rPr>
              <w:t xml:space="preserve">                        15.800 </w:t>
            </w:r>
          </w:p>
        </w:tc>
        <w:tc>
          <w:tcPr>
            <w:tcW w:w="1559"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jc w:val="right"/>
              <w:rPr>
                <w:rFonts w:ascii="Verdana" w:hAnsi="Verdana"/>
                <w:color w:val="000000"/>
                <w:sz w:val="18"/>
                <w:szCs w:val="18"/>
              </w:rPr>
            </w:pPr>
            <w:r w:rsidRPr="00DA23C5">
              <w:rPr>
                <w:rFonts w:ascii="Verdana" w:hAnsi="Verdana"/>
                <w:color w:val="000000"/>
                <w:sz w:val="18"/>
                <w:szCs w:val="18"/>
              </w:rPr>
              <w:t xml:space="preserve">               15.617 </w:t>
            </w:r>
          </w:p>
        </w:tc>
      </w:tr>
      <w:tr w:rsidR="00664BF1" w:rsidRPr="00DA23C5" w:rsidTr="00446271">
        <w:trPr>
          <w:cantSplit/>
          <w:trHeight w:val="274"/>
        </w:trPr>
        <w:tc>
          <w:tcPr>
            <w:tcW w:w="2972" w:type="dxa"/>
            <w:tcBorders>
              <w:top w:val="single" w:sz="6" w:space="0" w:color="auto"/>
              <w:left w:val="single" w:sz="6" w:space="0" w:color="auto"/>
              <w:bottom w:val="single" w:sz="6" w:space="0" w:color="auto"/>
              <w:right w:val="single" w:sz="6" w:space="0" w:color="auto"/>
            </w:tcBorders>
            <w:vAlign w:val="bottom"/>
            <w:hideMark/>
          </w:tcPr>
          <w:p w:rsidR="00664BF1" w:rsidRPr="00DA23C5" w:rsidRDefault="00664BF1" w:rsidP="00664BF1">
            <w:pPr>
              <w:rPr>
                <w:rFonts w:ascii="Verdana" w:hAnsi="Verdana"/>
                <w:b/>
                <w:bCs/>
                <w:color w:val="000000"/>
                <w:sz w:val="18"/>
                <w:szCs w:val="18"/>
              </w:rPr>
            </w:pPr>
            <w:r w:rsidRPr="00DA23C5">
              <w:rPr>
                <w:rFonts w:ascii="Verdana" w:hAnsi="Verdana"/>
                <w:b/>
                <w:bCs/>
                <w:color w:val="000000"/>
                <w:sz w:val="18"/>
                <w:szCs w:val="18"/>
              </w:rPr>
              <w:t xml:space="preserve"> Tot Consiglio di </w:t>
            </w:r>
            <w:proofErr w:type="spellStart"/>
            <w:r w:rsidRPr="00DA23C5">
              <w:rPr>
                <w:rFonts w:ascii="Verdana" w:hAnsi="Verdana"/>
                <w:b/>
                <w:bCs/>
                <w:color w:val="000000"/>
                <w:sz w:val="18"/>
                <w:szCs w:val="18"/>
              </w:rPr>
              <w:t>Ammin</w:t>
            </w:r>
            <w:proofErr w:type="spellEnd"/>
            <w:r w:rsidRPr="00DA23C5">
              <w:rPr>
                <w:rFonts w:ascii="Verdana" w:hAnsi="Verdana"/>
                <w:b/>
                <w:bCs/>
                <w:color w:val="000000"/>
                <w:sz w:val="18"/>
                <w:szCs w:val="18"/>
              </w:rPr>
              <w:t xml:space="preserve">. </w:t>
            </w:r>
          </w:p>
        </w:tc>
        <w:tc>
          <w:tcPr>
            <w:tcW w:w="1636"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rPr>
                <w:rFonts w:ascii="Verdana" w:hAnsi="Verdana"/>
                <w:b/>
                <w:bCs/>
                <w:color w:val="000000"/>
                <w:sz w:val="18"/>
                <w:szCs w:val="18"/>
              </w:rPr>
            </w:pPr>
            <w:r w:rsidRPr="00DA23C5">
              <w:rPr>
                <w:rFonts w:ascii="Verdana" w:hAnsi="Verdana"/>
                <w:b/>
                <w:bCs/>
                <w:color w:val="000000"/>
                <w:sz w:val="18"/>
                <w:szCs w:val="18"/>
              </w:rPr>
              <w:t xml:space="preserve">             110.000 </w:t>
            </w:r>
          </w:p>
        </w:tc>
        <w:tc>
          <w:tcPr>
            <w:tcW w:w="1636"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rPr>
                <w:rFonts w:ascii="Verdana" w:hAnsi="Verdana"/>
                <w:b/>
                <w:bCs/>
                <w:color w:val="000000"/>
                <w:sz w:val="18"/>
                <w:szCs w:val="18"/>
              </w:rPr>
            </w:pPr>
            <w:r w:rsidRPr="00DA23C5">
              <w:rPr>
                <w:rFonts w:ascii="Verdana" w:hAnsi="Verdana"/>
                <w:b/>
                <w:bCs/>
                <w:color w:val="000000"/>
                <w:sz w:val="18"/>
                <w:szCs w:val="18"/>
              </w:rPr>
              <w:t xml:space="preserve">             110.100 </w:t>
            </w:r>
          </w:p>
        </w:tc>
        <w:tc>
          <w:tcPr>
            <w:tcW w:w="1985"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jc w:val="right"/>
              <w:rPr>
                <w:rFonts w:ascii="Verdana" w:hAnsi="Verdana"/>
                <w:b/>
                <w:bCs/>
                <w:color w:val="000000"/>
                <w:sz w:val="18"/>
                <w:szCs w:val="18"/>
              </w:rPr>
            </w:pPr>
            <w:r w:rsidRPr="00DA23C5">
              <w:rPr>
                <w:rFonts w:ascii="Verdana" w:hAnsi="Verdana"/>
                <w:b/>
                <w:bCs/>
                <w:color w:val="000000"/>
                <w:sz w:val="18"/>
                <w:szCs w:val="18"/>
              </w:rPr>
              <w:t xml:space="preserve">                     108.800 </w:t>
            </w:r>
          </w:p>
        </w:tc>
        <w:tc>
          <w:tcPr>
            <w:tcW w:w="1559"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jc w:val="right"/>
              <w:rPr>
                <w:rFonts w:ascii="Verdana" w:hAnsi="Verdana"/>
                <w:b/>
                <w:bCs/>
                <w:color w:val="000000"/>
                <w:sz w:val="18"/>
                <w:szCs w:val="18"/>
              </w:rPr>
            </w:pPr>
            <w:r w:rsidRPr="00DA23C5">
              <w:rPr>
                <w:rFonts w:ascii="Verdana" w:hAnsi="Verdana"/>
                <w:b/>
                <w:bCs/>
                <w:color w:val="000000"/>
                <w:sz w:val="18"/>
                <w:szCs w:val="18"/>
              </w:rPr>
              <w:t xml:space="preserve">             112.256 </w:t>
            </w:r>
          </w:p>
        </w:tc>
      </w:tr>
      <w:tr w:rsidR="00664BF1" w:rsidRPr="00DA23C5" w:rsidTr="00446271">
        <w:trPr>
          <w:cantSplit/>
          <w:trHeight w:val="274"/>
        </w:trPr>
        <w:tc>
          <w:tcPr>
            <w:tcW w:w="2972" w:type="dxa"/>
            <w:tcBorders>
              <w:top w:val="single" w:sz="6" w:space="0" w:color="auto"/>
              <w:left w:val="single" w:sz="6" w:space="0" w:color="auto"/>
              <w:bottom w:val="single" w:sz="6" w:space="0" w:color="auto"/>
              <w:right w:val="single" w:sz="6" w:space="0" w:color="auto"/>
            </w:tcBorders>
            <w:vAlign w:val="bottom"/>
            <w:hideMark/>
          </w:tcPr>
          <w:p w:rsidR="00664BF1" w:rsidRPr="00DA23C5" w:rsidRDefault="00664BF1" w:rsidP="00664BF1">
            <w:pPr>
              <w:rPr>
                <w:rFonts w:ascii="Verdana" w:hAnsi="Verdana"/>
                <w:color w:val="000000"/>
                <w:sz w:val="18"/>
                <w:szCs w:val="18"/>
              </w:rPr>
            </w:pPr>
            <w:r w:rsidRPr="00DA23C5">
              <w:rPr>
                <w:rFonts w:ascii="Verdana" w:hAnsi="Verdana"/>
                <w:color w:val="000000"/>
                <w:sz w:val="18"/>
                <w:szCs w:val="18"/>
              </w:rPr>
              <w:t xml:space="preserve">  Compensi fissi </w:t>
            </w:r>
          </w:p>
        </w:tc>
        <w:tc>
          <w:tcPr>
            <w:tcW w:w="1636"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rPr>
                <w:rFonts w:ascii="Verdana" w:hAnsi="Verdana"/>
                <w:color w:val="000000"/>
                <w:sz w:val="18"/>
                <w:szCs w:val="18"/>
              </w:rPr>
            </w:pPr>
            <w:r w:rsidRPr="00DA23C5">
              <w:rPr>
                <w:rFonts w:ascii="Verdana" w:hAnsi="Verdana"/>
                <w:color w:val="000000"/>
                <w:sz w:val="18"/>
                <w:szCs w:val="18"/>
              </w:rPr>
              <w:t xml:space="preserve">               48.000 </w:t>
            </w:r>
          </w:p>
        </w:tc>
        <w:tc>
          <w:tcPr>
            <w:tcW w:w="1636"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rPr>
                <w:rFonts w:ascii="Verdana" w:hAnsi="Verdana"/>
                <w:color w:val="000000"/>
                <w:sz w:val="18"/>
                <w:szCs w:val="18"/>
              </w:rPr>
            </w:pPr>
            <w:r w:rsidRPr="00DA23C5">
              <w:rPr>
                <w:rFonts w:ascii="Verdana" w:hAnsi="Verdana"/>
                <w:color w:val="000000"/>
                <w:sz w:val="18"/>
                <w:szCs w:val="18"/>
              </w:rPr>
              <w:t xml:space="preserve">               48.000 </w:t>
            </w:r>
          </w:p>
        </w:tc>
        <w:tc>
          <w:tcPr>
            <w:tcW w:w="1985"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jc w:val="right"/>
              <w:rPr>
                <w:rFonts w:ascii="Verdana" w:hAnsi="Verdana"/>
                <w:color w:val="000000"/>
                <w:sz w:val="18"/>
                <w:szCs w:val="18"/>
              </w:rPr>
            </w:pPr>
            <w:r w:rsidRPr="00DA23C5">
              <w:rPr>
                <w:rFonts w:ascii="Verdana" w:hAnsi="Verdana"/>
                <w:color w:val="000000"/>
                <w:sz w:val="18"/>
                <w:szCs w:val="18"/>
              </w:rPr>
              <w:t xml:space="preserve">                        47.900 </w:t>
            </w:r>
          </w:p>
        </w:tc>
        <w:tc>
          <w:tcPr>
            <w:tcW w:w="1559"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jc w:val="right"/>
              <w:rPr>
                <w:rFonts w:ascii="Verdana" w:hAnsi="Verdana"/>
                <w:color w:val="000000"/>
                <w:sz w:val="18"/>
                <w:szCs w:val="18"/>
              </w:rPr>
            </w:pPr>
            <w:r w:rsidRPr="00DA23C5">
              <w:rPr>
                <w:rFonts w:ascii="Verdana" w:hAnsi="Verdana"/>
                <w:color w:val="000000"/>
                <w:sz w:val="18"/>
                <w:szCs w:val="18"/>
              </w:rPr>
              <w:t xml:space="preserve">               48.159 </w:t>
            </w:r>
          </w:p>
        </w:tc>
      </w:tr>
      <w:tr w:rsidR="00664BF1" w:rsidRPr="00DA23C5" w:rsidTr="00446271">
        <w:trPr>
          <w:cantSplit/>
          <w:trHeight w:val="274"/>
        </w:trPr>
        <w:tc>
          <w:tcPr>
            <w:tcW w:w="2972"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rPr>
                <w:rFonts w:ascii="Verdana" w:hAnsi="Verdana"/>
                <w:color w:val="000000"/>
                <w:sz w:val="18"/>
                <w:szCs w:val="18"/>
              </w:rPr>
            </w:pPr>
            <w:r w:rsidRPr="00DA23C5">
              <w:rPr>
                <w:rFonts w:ascii="Verdana" w:hAnsi="Verdana"/>
                <w:color w:val="000000"/>
                <w:sz w:val="18"/>
                <w:szCs w:val="18"/>
              </w:rPr>
              <w:t xml:space="preserve">  Oneri INPS-INAIL  </w:t>
            </w:r>
          </w:p>
        </w:tc>
        <w:tc>
          <w:tcPr>
            <w:tcW w:w="1636"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rPr>
                <w:rFonts w:ascii="Verdana" w:hAnsi="Verdana"/>
                <w:color w:val="FF0000"/>
                <w:sz w:val="18"/>
                <w:szCs w:val="18"/>
              </w:rPr>
            </w:pPr>
            <w:r w:rsidRPr="00DA23C5">
              <w:rPr>
                <w:rFonts w:ascii="Verdana" w:hAnsi="Verdana"/>
                <w:color w:val="FF0000"/>
                <w:sz w:val="18"/>
                <w:szCs w:val="18"/>
              </w:rPr>
              <w:t xml:space="preserve">                        -   </w:t>
            </w:r>
          </w:p>
        </w:tc>
        <w:tc>
          <w:tcPr>
            <w:tcW w:w="1636"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rPr>
                <w:rFonts w:ascii="Verdana" w:hAnsi="Verdana"/>
                <w:color w:val="FF0000"/>
                <w:sz w:val="18"/>
                <w:szCs w:val="18"/>
              </w:rPr>
            </w:pPr>
            <w:r w:rsidRPr="00DA23C5">
              <w:rPr>
                <w:rFonts w:ascii="Verdana" w:hAnsi="Verdana"/>
                <w:color w:val="FF0000"/>
                <w:sz w:val="18"/>
                <w:szCs w:val="18"/>
              </w:rPr>
              <w:t xml:space="preserve">                        -   </w:t>
            </w:r>
          </w:p>
        </w:tc>
        <w:tc>
          <w:tcPr>
            <w:tcW w:w="1985"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jc w:val="right"/>
              <w:rPr>
                <w:rFonts w:ascii="Verdana" w:hAnsi="Verdana"/>
                <w:color w:val="000000"/>
                <w:sz w:val="18"/>
                <w:szCs w:val="18"/>
              </w:rPr>
            </w:pPr>
            <w:r w:rsidRPr="00DA23C5">
              <w:rPr>
                <w:rFonts w:ascii="Verdana" w:hAnsi="Verdana"/>
                <w:color w:val="000000"/>
                <w:sz w:val="18"/>
                <w:szCs w:val="18"/>
              </w:rPr>
              <w:t xml:space="preserve">                          2.000 </w:t>
            </w:r>
          </w:p>
        </w:tc>
        <w:tc>
          <w:tcPr>
            <w:tcW w:w="1559"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jc w:val="right"/>
              <w:rPr>
                <w:rFonts w:ascii="Verdana" w:hAnsi="Verdana"/>
                <w:color w:val="000000"/>
                <w:sz w:val="18"/>
                <w:szCs w:val="18"/>
              </w:rPr>
            </w:pPr>
            <w:r w:rsidRPr="00DA23C5">
              <w:rPr>
                <w:rFonts w:ascii="Verdana" w:hAnsi="Verdana"/>
                <w:color w:val="000000"/>
                <w:sz w:val="18"/>
                <w:szCs w:val="18"/>
              </w:rPr>
              <w:t xml:space="preserve">                     790 </w:t>
            </w:r>
          </w:p>
        </w:tc>
      </w:tr>
      <w:tr w:rsidR="00664BF1" w:rsidRPr="00DA23C5" w:rsidTr="00446271">
        <w:trPr>
          <w:cantSplit/>
          <w:trHeight w:val="274"/>
        </w:trPr>
        <w:tc>
          <w:tcPr>
            <w:tcW w:w="2972"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rPr>
                <w:rFonts w:ascii="Verdana" w:hAnsi="Verdana"/>
                <w:b/>
                <w:bCs/>
                <w:color w:val="000000"/>
                <w:sz w:val="18"/>
                <w:szCs w:val="18"/>
              </w:rPr>
            </w:pPr>
            <w:r w:rsidRPr="00DA23C5">
              <w:rPr>
                <w:rFonts w:ascii="Verdana" w:hAnsi="Verdana"/>
                <w:b/>
                <w:bCs/>
                <w:color w:val="000000"/>
                <w:sz w:val="18"/>
                <w:szCs w:val="18"/>
              </w:rPr>
              <w:t xml:space="preserve"> Tot Collegio Sindacale </w:t>
            </w:r>
          </w:p>
        </w:tc>
        <w:tc>
          <w:tcPr>
            <w:tcW w:w="1636"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rPr>
                <w:rFonts w:ascii="Verdana" w:hAnsi="Verdana"/>
                <w:b/>
                <w:bCs/>
                <w:color w:val="000000"/>
                <w:sz w:val="18"/>
                <w:szCs w:val="18"/>
              </w:rPr>
            </w:pPr>
            <w:r w:rsidRPr="00DA23C5">
              <w:rPr>
                <w:rFonts w:ascii="Verdana" w:hAnsi="Verdana"/>
                <w:b/>
                <w:bCs/>
                <w:color w:val="000000"/>
                <w:sz w:val="18"/>
                <w:szCs w:val="18"/>
              </w:rPr>
              <w:t xml:space="preserve">               48.000 </w:t>
            </w:r>
          </w:p>
        </w:tc>
        <w:tc>
          <w:tcPr>
            <w:tcW w:w="1636"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rPr>
                <w:rFonts w:ascii="Verdana" w:hAnsi="Verdana"/>
                <w:b/>
                <w:bCs/>
                <w:color w:val="000000"/>
                <w:sz w:val="18"/>
                <w:szCs w:val="18"/>
              </w:rPr>
            </w:pPr>
            <w:r w:rsidRPr="00DA23C5">
              <w:rPr>
                <w:rFonts w:ascii="Verdana" w:hAnsi="Verdana"/>
                <w:b/>
                <w:bCs/>
                <w:color w:val="000000"/>
                <w:sz w:val="18"/>
                <w:szCs w:val="18"/>
              </w:rPr>
              <w:t xml:space="preserve">               48.000 </w:t>
            </w:r>
          </w:p>
        </w:tc>
        <w:tc>
          <w:tcPr>
            <w:tcW w:w="1985"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jc w:val="right"/>
              <w:rPr>
                <w:rFonts w:ascii="Verdana" w:hAnsi="Verdana"/>
                <w:b/>
                <w:bCs/>
                <w:color w:val="000000"/>
                <w:sz w:val="18"/>
                <w:szCs w:val="18"/>
              </w:rPr>
            </w:pPr>
            <w:r w:rsidRPr="00DA23C5">
              <w:rPr>
                <w:rFonts w:ascii="Verdana" w:hAnsi="Verdana"/>
                <w:b/>
                <w:bCs/>
                <w:color w:val="000000"/>
                <w:sz w:val="18"/>
                <w:szCs w:val="18"/>
              </w:rPr>
              <w:t xml:space="preserve">                        49.900 </w:t>
            </w:r>
          </w:p>
        </w:tc>
        <w:tc>
          <w:tcPr>
            <w:tcW w:w="1559" w:type="dxa"/>
            <w:tcBorders>
              <w:top w:val="single" w:sz="6" w:space="0" w:color="auto"/>
              <w:left w:val="single" w:sz="6" w:space="0" w:color="auto"/>
              <w:bottom w:val="single" w:sz="6" w:space="0" w:color="auto"/>
              <w:right w:val="single" w:sz="6" w:space="0" w:color="auto"/>
            </w:tcBorders>
            <w:vAlign w:val="bottom"/>
          </w:tcPr>
          <w:p w:rsidR="00664BF1" w:rsidRPr="00DA23C5" w:rsidRDefault="00664BF1" w:rsidP="00664BF1">
            <w:pPr>
              <w:jc w:val="right"/>
              <w:rPr>
                <w:rFonts w:ascii="Verdana" w:hAnsi="Verdana"/>
                <w:b/>
                <w:bCs/>
                <w:color w:val="000000"/>
                <w:sz w:val="18"/>
                <w:szCs w:val="18"/>
              </w:rPr>
            </w:pPr>
            <w:r w:rsidRPr="00DA23C5">
              <w:rPr>
                <w:rFonts w:ascii="Verdana" w:hAnsi="Verdana"/>
                <w:b/>
                <w:bCs/>
                <w:color w:val="000000"/>
                <w:sz w:val="18"/>
                <w:szCs w:val="18"/>
              </w:rPr>
              <w:t xml:space="preserve">               48.949 </w:t>
            </w:r>
          </w:p>
        </w:tc>
      </w:tr>
    </w:tbl>
    <w:p w:rsidR="00407873" w:rsidRPr="00DA23C5" w:rsidRDefault="00407873" w:rsidP="00071495">
      <w:pPr>
        <w:jc w:val="both"/>
        <w:rPr>
          <w:rFonts w:ascii="Verdana" w:hAnsi="Verdana"/>
          <w:sz w:val="18"/>
          <w:szCs w:val="18"/>
        </w:rPr>
      </w:pPr>
      <w:r w:rsidRPr="00DA23C5">
        <w:rPr>
          <w:rFonts w:ascii="Verdana" w:hAnsi="Verdana"/>
          <w:b/>
          <w:sz w:val="18"/>
          <w:szCs w:val="18"/>
        </w:rPr>
        <w:t>3) Art. 15 “monitoraggio, indirizzo e coordinamento sulle società a partecipazione pubblica”</w:t>
      </w:r>
      <w:r w:rsidRPr="00DA23C5">
        <w:rPr>
          <w:rFonts w:ascii="Verdana" w:hAnsi="Verdana"/>
          <w:sz w:val="18"/>
          <w:szCs w:val="18"/>
        </w:rPr>
        <w:t xml:space="preserve"> </w:t>
      </w:r>
      <w:r w:rsidRPr="00DA23C5">
        <w:rPr>
          <w:rFonts w:ascii="Verdana" w:hAnsi="Verdana"/>
          <w:b/>
          <w:sz w:val="18"/>
          <w:szCs w:val="18"/>
        </w:rPr>
        <w:t xml:space="preserve">Il controllo e il monitoraggio sull’attuazione del TU sulle partecipate pubbliche da parte del MEF (art. 15 D. </w:t>
      </w:r>
      <w:proofErr w:type="spellStart"/>
      <w:r w:rsidRPr="00DA23C5">
        <w:rPr>
          <w:rFonts w:ascii="Verdana" w:hAnsi="Verdana"/>
          <w:b/>
          <w:sz w:val="18"/>
          <w:szCs w:val="18"/>
        </w:rPr>
        <w:t>Lgs</w:t>
      </w:r>
      <w:proofErr w:type="spellEnd"/>
      <w:r w:rsidRPr="00DA23C5">
        <w:rPr>
          <w:rFonts w:ascii="Verdana" w:hAnsi="Verdana"/>
          <w:b/>
          <w:sz w:val="18"/>
          <w:szCs w:val="18"/>
        </w:rPr>
        <w:t>. 175)</w:t>
      </w:r>
      <w:r w:rsidRPr="00DA23C5">
        <w:rPr>
          <w:rFonts w:ascii="Verdana" w:hAnsi="Verdana"/>
          <w:sz w:val="18"/>
          <w:szCs w:val="18"/>
        </w:rPr>
        <w:t xml:space="preserve"> </w:t>
      </w:r>
    </w:p>
    <w:p w:rsidR="005413F1" w:rsidRPr="00DA23C5" w:rsidRDefault="005413F1" w:rsidP="005413F1">
      <w:pPr>
        <w:pStyle w:val="Corpotesto"/>
        <w:tabs>
          <w:tab w:val="left" w:pos="709"/>
          <w:tab w:val="left" w:pos="993"/>
        </w:tabs>
        <w:spacing w:line="240" w:lineRule="auto"/>
        <w:rPr>
          <w:rFonts w:ascii="Verdana" w:hAnsi="Verdana"/>
          <w:sz w:val="18"/>
          <w:szCs w:val="18"/>
        </w:rPr>
      </w:pPr>
      <w:r w:rsidRPr="00DA23C5">
        <w:rPr>
          <w:rFonts w:ascii="Verdana" w:hAnsi="Verdana"/>
          <w:sz w:val="18"/>
          <w:szCs w:val="18"/>
        </w:rPr>
        <w:t xml:space="preserve">L’art. 15, comma 1, </w:t>
      </w:r>
      <w:proofErr w:type="spellStart"/>
      <w:r w:rsidRPr="00DA23C5">
        <w:rPr>
          <w:rFonts w:ascii="Verdana" w:hAnsi="Verdana"/>
          <w:sz w:val="18"/>
          <w:szCs w:val="18"/>
        </w:rPr>
        <w:t>D.Lgs.</w:t>
      </w:r>
      <w:proofErr w:type="spellEnd"/>
      <w:r w:rsidRPr="00DA23C5">
        <w:rPr>
          <w:rFonts w:ascii="Verdana" w:hAnsi="Verdana"/>
          <w:sz w:val="18"/>
          <w:szCs w:val="18"/>
        </w:rPr>
        <w:t xml:space="preserve"> 175/2016 istituisce nell’ambito del MEF la struttura competente per il controllo e il monitoraggio sull’attuazione del TUSP. Con DM del 16 maggio 2017 il MEF ha individuato la struttura competente nella Direzione VIII del Dipartimento del Tesoro.</w:t>
      </w:r>
    </w:p>
    <w:p w:rsidR="005413F1" w:rsidRPr="00DA23C5" w:rsidRDefault="005413F1" w:rsidP="005413F1">
      <w:pPr>
        <w:pStyle w:val="Corpotesto"/>
        <w:tabs>
          <w:tab w:val="left" w:pos="709"/>
          <w:tab w:val="left" w:pos="993"/>
        </w:tabs>
        <w:spacing w:line="240" w:lineRule="auto"/>
        <w:rPr>
          <w:rFonts w:ascii="Verdana" w:hAnsi="Verdana"/>
          <w:sz w:val="18"/>
          <w:szCs w:val="18"/>
        </w:rPr>
      </w:pPr>
      <w:r w:rsidRPr="00DA23C5">
        <w:rPr>
          <w:rFonts w:ascii="Verdana" w:hAnsi="Verdana"/>
          <w:sz w:val="18"/>
          <w:szCs w:val="18"/>
        </w:rPr>
        <w:t>Il comma 2 dell’art. 15 stabilisce che «</w:t>
      </w:r>
      <w:r w:rsidRPr="00DA23C5">
        <w:rPr>
          <w:rFonts w:ascii="Verdana" w:hAnsi="Verdana"/>
          <w:i/>
          <w:iCs/>
          <w:sz w:val="18"/>
          <w:szCs w:val="18"/>
        </w:rPr>
        <w:t>Fatte salve le norme di settore e le competenze dalle stesse previste, ai fini dell’applicazione delle disposizioni del presente decreto, la struttura di cui al comma 1 fornisce orientamenti e indicazioni in materia di applicazione del presente decreto e del decreto legislativo 11 novembre 2003, n. 333, e promuove le migliori pratiche presso le società a partecipazione pubblica, adotta nei confronti delle stesse società le direttive sulla separazione contabile e verifica il loro rispetto, ivi compresa la relativa trasparenza</w:t>
      </w:r>
      <w:r w:rsidRPr="00DA23C5">
        <w:rPr>
          <w:rFonts w:ascii="Verdana" w:hAnsi="Verdana"/>
          <w:sz w:val="18"/>
          <w:szCs w:val="18"/>
        </w:rPr>
        <w:t>». In forza di tale previsione, la Direzione VIII del Dipartimento del Tesoro ha emanato la «</w:t>
      </w:r>
      <w:r w:rsidRPr="00DA23C5">
        <w:rPr>
          <w:rFonts w:ascii="Verdana" w:hAnsi="Verdana"/>
          <w:i/>
          <w:iCs/>
          <w:sz w:val="18"/>
          <w:szCs w:val="18"/>
        </w:rPr>
        <w:t>Direttiva sulla separazione contabile</w:t>
      </w:r>
      <w:r w:rsidRPr="00DA23C5">
        <w:rPr>
          <w:rFonts w:ascii="Verdana" w:hAnsi="Verdana"/>
          <w:sz w:val="18"/>
          <w:szCs w:val="18"/>
        </w:rPr>
        <w:t xml:space="preserve">» (ID:3590107-09/09/2019) cui soggiacciono le società di cui all’art. 6, comma 1, del </w:t>
      </w:r>
      <w:proofErr w:type="spellStart"/>
      <w:r w:rsidRPr="00DA23C5">
        <w:rPr>
          <w:rFonts w:ascii="Verdana" w:hAnsi="Verdana"/>
          <w:sz w:val="18"/>
          <w:szCs w:val="18"/>
        </w:rPr>
        <w:t>D.Lgs.</w:t>
      </w:r>
      <w:proofErr w:type="spellEnd"/>
      <w:r w:rsidRPr="00DA23C5">
        <w:rPr>
          <w:rFonts w:ascii="Verdana" w:hAnsi="Verdana"/>
          <w:sz w:val="18"/>
          <w:szCs w:val="18"/>
        </w:rPr>
        <w:t xml:space="preserve"> n. 175/2016. La direttiva si applica con riferimento ai bilanci successivi a quello in corso al 31/12/2019.</w:t>
      </w:r>
    </w:p>
    <w:p w:rsidR="005413F1" w:rsidRPr="00DA23C5" w:rsidRDefault="005413F1" w:rsidP="005413F1">
      <w:pPr>
        <w:jc w:val="both"/>
        <w:rPr>
          <w:rFonts w:ascii="Verdana" w:hAnsi="Verdana"/>
          <w:sz w:val="18"/>
          <w:szCs w:val="18"/>
        </w:rPr>
      </w:pPr>
      <w:r w:rsidRPr="00DA23C5">
        <w:rPr>
          <w:rFonts w:ascii="Verdana" w:hAnsi="Verdana"/>
          <w:sz w:val="18"/>
          <w:szCs w:val="18"/>
        </w:rPr>
        <w:t>La Società è già soggetta all’obbligo di separazione contabile, imposto per il settore idrico dalla Deliberazione ARERA del 24/03/2016 n. 137/2016/R/</w:t>
      </w:r>
      <w:proofErr w:type="spellStart"/>
      <w:r w:rsidRPr="00DA23C5">
        <w:rPr>
          <w:rFonts w:ascii="Verdana" w:hAnsi="Verdana"/>
          <w:sz w:val="18"/>
          <w:szCs w:val="18"/>
        </w:rPr>
        <w:t>com</w:t>
      </w:r>
      <w:proofErr w:type="spellEnd"/>
      <w:r w:rsidRPr="00DA23C5">
        <w:rPr>
          <w:rFonts w:ascii="Verdana" w:hAnsi="Verdana"/>
          <w:sz w:val="18"/>
          <w:szCs w:val="18"/>
        </w:rPr>
        <w:t xml:space="preserve">. </w:t>
      </w:r>
      <w:proofErr w:type="gramStart"/>
      <w:r w:rsidRPr="00DA23C5">
        <w:rPr>
          <w:rFonts w:ascii="Verdana" w:hAnsi="Verdana"/>
          <w:sz w:val="18"/>
          <w:szCs w:val="18"/>
        </w:rPr>
        <w:t>e</w:t>
      </w:r>
      <w:proofErr w:type="gramEnd"/>
      <w:r w:rsidRPr="00DA23C5">
        <w:rPr>
          <w:rFonts w:ascii="Verdana" w:hAnsi="Verdana"/>
          <w:sz w:val="18"/>
          <w:szCs w:val="18"/>
        </w:rPr>
        <w:t xml:space="preserve"> per effetto di tale disposizioni la Società soggiace anche per il settore dell’energia all’obbligo di separazione contabile in regime ordinario. In applicazione del principio di specialità richiamato dallo stesso comma 2 art.15 del TUSP, come chiarito definitivamente nel corso del 2021 (vedi convegni e stampa specializzata, pareri UTILITALIA, </w:t>
      </w:r>
      <w:proofErr w:type="spellStart"/>
      <w:r w:rsidRPr="00DA23C5">
        <w:rPr>
          <w:rFonts w:ascii="Verdana" w:hAnsi="Verdana"/>
          <w:sz w:val="18"/>
          <w:szCs w:val="18"/>
        </w:rPr>
        <w:t>ecc</w:t>
      </w:r>
      <w:proofErr w:type="spellEnd"/>
      <w:r w:rsidRPr="00DA23C5">
        <w:rPr>
          <w:rFonts w:ascii="Verdana" w:hAnsi="Verdana"/>
          <w:sz w:val="18"/>
          <w:szCs w:val="18"/>
        </w:rPr>
        <w:t xml:space="preserve">…) le prescrizioni emanate dalla competente Autorità di regolazione sono prevalenti e nessun altro adempimento è richiesto ai soggetti che già soggiacciono a tali disposizioni, la Società effettua gli adempimenti di separazione contabile nei modi e nei tempi previsti dagli schemi regolatori di ARERA con effetto dal bilancio di esercizio 2016. </w:t>
      </w:r>
    </w:p>
    <w:p w:rsidR="005413F1" w:rsidRPr="00DA23C5" w:rsidRDefault="005413F1" w:rsidP="005413F1">
      <w:pPr>
        <w:pStyle w:val="Corpotesto"/>
        <w:tabs>
          <w:tab w:val="left" w:pos="709"/>
          <w:tab w:val="left" w:pos="993"/>
        </w:tabs>
        <w:spacing w:line="240" w:lineRule="auto"/>
        <w:rPr>
          <w:rFonts w:ascii="Verdana" w:hAnsi="Verdana"/>
          <w:sz w:val="18"/>
          <w:szCs w:val="18"/>
        </w:rPr>
      </w:pPr>
      <w:r w:rsidRPr="00DA23C5">
        <w:rPr>
          <w:rFonts w:ascii="Verdana" w:hAnsi="Verdana"/>
          <w:sz w:val="18"/>
          <w:szCs w:val="18"/>
        </w:rPr>
        <w:t>Il comma 4, secondo periodo, dell’art. 15 TUSP dispone che «</w:t>
      </w:r>
      <w:r w:rsidRPr="00DA23C5">
        <w:rPr>
          <w:rFonts w:ascii="Verdana" w:hAnsi="Verdana"/>
          <w:i/>
          <w:iCs/>
          <w:sz w:val="18"/>
          <w:szCs w:val="18"/>
        </w:rPr>
        <w:t>le amministrazioni pubbliche e le società a partecipazione pubblica inviano alla struttura cui al comma 1, con le modalità e nei termini da essa stabiliti, le segnalazioni periodiche e ogni altro dato documento richiesto. Esse trasmettono anche i bilanci e gli altri documenti obbligatori, di cui all'art. 6 del presente decreto, con le modalità e nei termini stabiliti dalla medesima struttura</w:t>
      </w:r>
      <w:r w:rsidRPr="00DA23C5">
        <w:rPr>
          <w:rFonts w:ascii="Verdana" w:hAnsi="Verdana"/>
          <w:sz w:val="18"/>
          <w:szCs w:val="18"/>
        </w:rPr>
        <w:t>». Ad oggi la Struttura istituita presso il Dipartimento del Tesoro non ha richiesto l’invio generalizzato da parte delle pubbliche amministrazioni o delle società di alcun documento o dato ulteriore rispetto a quelli previsti espressamente dal legislatore nelle altre disposizioni del TUSP. Le informazioni relative ai bilanci e ai documenti obbligatori di cui all’art. 6 TUSP sono acquisite dalla Struttura di monitoraggio sulle partecipazioni delle PA, in coerenza con quanto previsto dall’art. 17, comma 4, del D.L. n. 90/2014 (richiamato dall’art. 15, comma 4, TUSP), mediante le comunicazioni rese dalle Amministrazioni attraverso il programma applicativo “Partecipazioni” oppure tramite banche dati ufficiali (come il registro delle imprese).</w:t>
      </w:r>
    </w:p>
    <w:p w:rsidR="00407873" w:rsidRPr="00DA23C5" w:rsidRDefault="00407873" w:rsidP="00071495">
      <w:pPr>
        <w:pStyle w:val="Corpotesto"/>
        <w:widowControl/>
        <w:tabs>
          <w:tab w:val="clear" w:pos="4536"/>
          <w:tab w:val="left" w:pos="709"/>
          <w:tab w:val="left" w:pos="993"/>
        </w:tabs>
        <w:spacing w:line="240" w:lineRule="auto"/>
        <w:ind w:right="0"/>
        <w:rPr>
          <w:rFonts w:ascii="Verdana" w:hAnsi="Verdana"/>
          <w:snapToGrid w:val="0"/>
          <w:color w:val="FF0000"/>
          <w:sz w:val="18"/>
          <w:szCs w:val="18"/>
        </w:rPr>
      </w:pPr>
      <w:r w:rsidRPr="00DA23C5">
        <w:rPr>
          <w:rFonts w:ascii="Verdana" w:hAnsi="Verdana"/>
          <w:b/>
          <w:sz w:val="18"/>
          <w:szCs w:val="18"/>
        </w:rPr>
        <w:t xml:space="preserve">4) Art. 16 “Società in </w:t>
      </w:r>
      <w:proofErr w:type="spellStart"/>
      <w:r w:rsidRPr="00DA23C5">
        <w:rPr>
          <w:rFonts w:ascii="Verdana" w:hAnsi="Verdana"/>
          <w:b/>
          <w:sz w:val="18"/>
          <w:szCs w:val="18"/>
        </w:rPr>
        <w:t>house</w:t>
      </w:r>
      <w:proofErr w:type="spellEnd"/>
      <w:r w:rsidRPr="00DA23C5">
        <w:rPr>
          <w:rFonts w:ascii="Verdana" w:hAnsi="Verdana"/>
          <w:b/>
          <w:sz w:val="18"/>
          <w:szCs w:val="18"/>
        </w:rPr>
        <w:t>” - Vincolo composizione del fatturato</w:t>
      </w:r>
      <w:r w:rsidR="00FB5AD7" w:rsidRPr="00DA23C5">
        <w:rPr>
          <w:rFonts w:ascii="Verdana" w:hAnsi="Verdana"/>
          <w:b/>
          <w:sz w:val="18"/>
          <w:szCs w:val="18"/>
        </w:rPr>
        <w:t xml:space="preserve"> </w:t>
      </w:r>
    </w:p>
    <w:p w:rsidR="00407873" w:rsidRPr="00DA23C5" w:rsidRDefault="00407873" w:rsidP="00071495">
      <w:pPr>
        <w:pStyle w:val="Corpotesto"/>
        <w:tabs>
          <w:tab w:val="left" w:pos="709"/>
          <w:tab w:val="left" w:pos="993"/>
        </w:tabs>
        <w:spacing w:line="240" w:lineRule="auto"/>
        <w:rPr>
          <w:rFonts w:ascii="Verdana" w:hAnsi="Verdana"/>
          <w:snapToGrid w:val="0"/>
          <w:sz w:val="18"/>
          <w:szCs w:val="18"/>
        </w:rPr>
      </w:pPr>
      <w:r w:rsidRPr="00DA23C5">
        <w:rPr>
          <w:rFonts w:ascii="Verdana" w:hAnsi="Verdana"/>
          <w:sz w:val="18"/>
          <w:szCs w:val="18"/>
        </w:rPr>
        <w:t xml:space="preserve">La Società si configura quale “Società in </w:t>
      </w:r>
      <w:proofErr w:type="spellStart"/>
      <w:r w:rsidRPr="00DA23C5">
        <w:rPr>
          <w:rFonts w:ascii="Verdana" w:hAnsi="Verdana"/>
          <w:sz w:val="18"/>
          <w:szCs w:val="18"/>
        </w:rPr>
        <w:t>house</w:t>
      </w:r>
      <w:proofErr w:type="spellEnd"/>
      <w:r w:rsidRPr="00DA23C5">
        <w:rPr>
          <w:rFonts w:ascii="Verdana" w:hAnsi="Verdana"/>
          <w:sz w:val="18"/>
          <w:szCs w:val="18"/>
        </w:rPr>
        <w:t xml:space="preserve">” ai sensi dell’art.16 del </w:t>
      </w:r>
      <w:proofErr w:type="spellStart"/>
      <w:r w:rsidRPr="00DA23C5">
        <w:rPr>
          <w:rFonts w:ascii="Verdana" w:hAnsi="Verdana"/>
          <w:sz w:val="18"/>
          <w:szCs w:val="18"/>
        </w:rPr>
        <w:t>Dlgs</w:t>
      </w:r>
      <w:proofErr w:type="spellEnd"/>
      <w:r w:rsidRPr="00DA23C5">
        <w:rPr>
          <w:rFonts w:ascii="Verdana" w:hAnsi="Verdana"/>
          <w:sz w:val="18"/>
          <w:szCs w:val="18"/>
        </w:rPr>
        <w:t xml:space="preserve"> 175. Come previsto dall’art. 5, comma 1, </w:t>
      </w:r>
      <w:proofErr w:type="spellStart"/>
      <w:r w:rsidRPr="00DA23C5">
        <w:rPr>
          <w:rFonts w:ascii="Verdana" w:hAnsi="Verdana"/>
          <w:sz w:val="18"/>
          <w:szCs w:val="18"/>
        </w:rPr>
        <w:t>lett</w:t>
      </w:r>
      <w:proofErr w:type="spellEnd"/>
      <w:r w:rsidRPr="00DA23C5">
        <w:rPr>
          <w:rFonts w:ascii="Verdana" w:hAnsi="Verdana"/>
          <w:sz w:val="18"/>
          <w:szCs w:val="18"/>
        </w:rPr>
        <w:t xml:space="preserve">. b) del </w:t>
      </w:r>
      <w:proofErr w:type="spellStart"/>
      <w:r w:rsidRPr="00DA23C5">
        <w:rPr>
          <w:rFonts w:ascii="Verdana" w:hAnsi="Verdana"/>
          <w:sz w:val="18"/>
          <w:szCs w:val="18"/>
        </w:rPr>
        <w:t>Dlgs</w:t>
      </w:r>
      <w:proofErr w:type="spellEnd"/>
      <w:r w:rsidRPr="00DA23C5">
        <w:rPr>
          <w:rFonts w:ascii="Verdana" w:hAnsi="Verdana"/>
          <w:sz w:val="18"/>
          <w:szCs w:val="18"/>
        </w:rPr>
        <w:t xml:space="preserve">. 50/2016, dall’art. 16, comma 3 del </w:t>
      </w:r>
      <w:proofErr w:type="spellStart"/>
      <w:r w:rsidRPr="00DA23C5">
        <w:rPr>
          <w:rFonts w:ascii="Verdana" w:hAnsi="Verdana"/>
          <w:sz w:val="18"/>
          <w:szCs w:val="18"/>
        </w:rPr>
        <w:t>Dlgs</w:t>
      </w:r>
      <w:proofErr w:type="spellEnd"/>
      <w:r w:rsidRPr="00DA23C5">
        <w:rPr>
          <w:rFonts w:ascii="Verdana" w:hAnsi="Verdana"/>
          <w:sz w:val="18"/>
          <w:szCs w:val="18"/>
        </w:rPr>
        <w:t>. 175/2016 e dall’art.3, comma 3 dello Statuto, almeno l’80% del fatturato deve derivare dallo svolgimento di compiti affidati alla Società dagli Enti locali soci o comunque dallo svolgimento di attività, sempre in forza di affidamenti ottenuti dagli Enti locali soci,</w:t>
      </w:r>
      <w:r w:rsidRPr="00DA23C5">
        <w:rPr>
          <w:rFonts w:ascii="Verdana" w:hAnsi="Verdana"/>
          <w:snapToGrid w:val="0"/>
          <w:sz w:val="18"/>
          <w:szCs w:val="18"/>
        </w:rPr>
        <w:t xml:space="preserve"> con le collettività, cittadini ed utenti. Di seguito si fornisce specifica informativa in merito al rispetto del suddetto vincolo in termini di preconsuntivo 202</w:t>
      </w:r>
      <w:r w:rsidR="005413F1" w:rsidRPr="00DA23C5">
        <w:rPr>
          <w:rFonts w:ascii="Verdana" w:hAnsi="Verdana"/>
          <w:snapToGrid w:val="0"/>
          <w:sz w:val="18"/>
          <w:szCs w:val="18"/>
        </w:rPr>
        <w:t xml:space="preserve">2 e </w:t>
      </w:r>
      <w:proofErr w:type="spellStart"/>
      <w:r w:rsidR="005413F1" w:rsidRPr="00DA23C5">
        <w:rPr>
          <w:rFonts w:ascii="Verdana" w:hAnsi="Verdana"/>
          <w:snapToGrid w:val="0"/>
          <w:sz w:val="18"/>
          <w:szCs w:val="18"/>
        </w:rPr>
        <w:t>bdg</w:t>
      </w:r>
      <w:proofErr w:type="spellEnd"/>
      <w:r w:rsidR="005413F1" w:rsidRPr="00DA23C5">
        <w:rPr>
          <w:rFonts w:ascii="Verdana" w:hAnsi="Verdana"/>
          <w:snapToGrid w:val="0"/>
          <w:sz w:val="18"/>
          <w:szCs w:val="18"/>
        </w:rPr>
        <w:t xml:space="preserve"> 2023</w:t>
      </w:r>
      <w:r w:rsidRPr="00DA23C5">
        <w:rPr>
          <w:rFonts w:ascii="Verdana" w:hAnsi="Verdana"/>
          <w:snapToGrid w:val="0"/>
          <w:sz w:val="18"/>
          <w:szCs w:val="18"/>
        </w:rPr>
        <w:t>.</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7"/>
        <w:gridCol w:w="1135"/>
        <w:gridCol w:w="1417"/>
        <w:gridCol w:w="1162"/>
        <w:gridCol w:w="29"/>
        <w:gridCol w:w="1361"/>
        <w:gridCol w:w="1134"/>
      </w:tblGrid>
      <w:tr w:rsidR="009800BE" w:rsidRPr="00DA23C5" w:rsidTr="00446271">
        <w:trPr>
          <w:trHeight w:val="178"/>
        </w:trPr>
        <w:tc>
          <w:tcPr>
            <w:tcW w:w="2835" w:type="dxa"/>
            <w:shd w:val="clear" w:color="auto" w:fill="auto"/>
          </w:tcPr>
          <w:p w:rsidR="009800BE" w:rsidRPr="00DA23C5" w:rsidRDefault="009800BE" w:rsidP="00446271">
            <w:pPr>
              <w:pStyle w:val="Corpotesto"/>
              <w:tabs>
                <w:tab w:val="clear" w:pos="4536"/>
                <w:tab w:val="left" w:pos="709"/>
                <w:tab w:val="left" w:pos="993"/>
              </w:tabs>
              <w:spacing w:line="240" w:lineRule="auto"/>
              <w:rPr>
                <w:rFonts w:ascii="Verdana" w:hAnsi="Verdana"/>
                <w:b/>
                <w:sz w:val="18"/>
                <w:szCs w:val="18"/>
              </w:rPr>
            </w:pPr>
          </w:p>
        </w:tc>
        <w:tc>
          <w:tcPr>
            <w:tcW w:w="2552" w:type="dxa"/>
            <w:gridSpan w:val="2"/>
            <w:shd w:val="clear" w:color="auto" w:fill="auto"/>
            <w:vAlign w:val="bottom"/>
          </w:tcPr>
          <w:p w:rsidR="009800BE" w:rsidRPr="00DA23C5" w:rsidRDefault="009800BE" w:rsidP="009800BE">
            <w:pPr>
              <w:jc w:val="center"/>
              <w:rPr>
                <w:rFonts w:ascii="Verdana" w:hAnsi="Verdana"/>
                <w:b/>
                <w:sz w:val="18"/>
                <w:szCs w:val="18"/>
              </w:rPr>
            </w:pPr>
            <w:r w:rsidRPr="00DA23C5">
              <w:rPr>
                <w:rFonts w:ascii="Verdana" w:hAnsi="Verdana"/>
                <w:b/>
                <w:sz w:val="18"/>
                <w:szCs w:val="18"/>
              </w:rPr>
              <w:t>Budget 2023</w:t>
            </w:r>
          </w:p>
        </w:tc>
        <w:tc>
          <w:tcPr>
            <w:tcW w:w="2608" w:type="dxa"/>
            <w:gridSpan w:val="3"/>
            <w:vAlign w:val="bottom"/>
          </w:tcPr>
          <w:p w:rsidR="009800BE" w:rsidRPr="00DA23C5" w:rsidRDefault="009800BE" w:rsidP="00446271">
            <w:pPr>
              <w:rPr>
                <w:rFonts w:ascii="Verdana" w:hAnsi="Verdana"/>
                <w:b/>
                <w:sz w:val="18"/>
                <w:szCs w:val="18"/>
              </w:rPr>
            </w:pPr>
            <w:proofErr w:type="spellStart"/>
            <w:proofErr w:type="gramStart"/>
            <w:r w:rsidRPr="00DA23C5">
              <w:rPr>
                <w:rFonts w:ascii="Verdana" w:hAnsi="Verdana"/>
                <w:b/>
                <w:sz w:val="18"/>
                <w:szCs w:val="18"/>
              </w:rPr>
              <w:t>precons</w:t>
            </w:r>
            <w:proofErr w:type="spellEnd"/>
            <w:proofErr w:type="gramEnd"/>
            <w:r w:rsidRPr="00DA23C5">
              <w:rPr>
                <w:rFonts w:ascii="Verdana" w:hAnsi="Verdana"/>
                <w:b/>
                <w:sz w:val="18"/>
                <w:szCs w:val="18"/>
              </w:rPr>
              <w:t xml:space="preserve"> 2022</w:t>
            </w:r>
          </w:p>
        </w:tc>
        <w:tc>
          <w:tcPr>
            <w:tcW w:w="2495" w:type="dxa"/>
            <w:gridSpan w:val="2"/>
          </w:tcPr>
          <w:p w:rsidR="009800BE" w:rsidRPr="00DA23C5" w:rsidRDefault="009800BE" w:rsidP="00446271">
            <w:pPr>
              <w:rPr>
                <w:rFonts w:ascii="Verdana" w:hAnsi="Verdana"/>
                <w:b/>
                <w:sz w:val="18"/>
                <w:szCs w:val="18"/>
              </w:rPr>
            </w:pPr>
            <w:r w:rsidRPr="00DA23C5">
              <w:rPr>
                <w:rFonts w:ascii="Verdana" w:hAnsi="Verdana"/>
                <w:b/>
                <w:sz w:val="18"/>
                <w:szCs w:val="18"/>
              </w:rPr>
              <w:t>Consuntivo 2021</w:t>
            </w:r>
          </w:p>
        </w:tc>
      </w:tr>
      <w:tr w:rsidR="009800BE" w:rsidRPr="00DA23C5" w:rsidTr="00446271">
        <w:tc>
          <w:tcPr>
            <w:tcW w:w="2835" w:type="dxa"/>
            <w:shd w:val="clear" w:color="auto" w:fill="auto"/>
            <w:vAlign w:val="bottom"/>
          </w:tcPr>
          <w:p w:rsidR="009800BE" w:rsidRPr="00DA23C5" w:rsidRDefault="009800BE" w:rsidP="00446271">
            <w:pPr>
              <w:rPr>
                <w:rFonts w:ascii="Verdana" w:hAnsi="Verdana"/>
                <w:sz w:val="18"/>
                <w:szCs w:val="18"/>
              </w:rPr>
            </w:pPr>
          </w:p>
        </w:tc>
        <w:tc>
          <w:tcPr>
            <w:tcW w:w="1417" w:type="dxa"/>
            <w:shd w:val="clear" w:color="auto" w:fill="auto"/>
            <w:vAlign w:val="bottom"/>
          </w:tcPr>
          <w:p w:rsidR="009800BE" w:rsidRPr="00DA23C5" w:rsidRDefault="009800BE" w:rsidP="00446271">
            <w:pPr>
              <w:jc w:val="center"/>
              <w:rPr>
                <w:rFonts w:ascii="Verdana" w:hAnsi="Verdana"/>
                <w:sz w:val="18"/>
                <w:szCs w:val="18"/>
                <w:lang w:eastAsia="it-IT"/>
              </w:rPr>
            </w:pPr>
            <w:proofErr w:type="gramStart"/>
            <w:r w:rsidRPr="00DA23C5">
              <w:rPr>
                <w:rFonts w:ascii="Verdana" w:hAnsi="Verdana"/>
                <w:sz w:val="18"/>
                <w:szCs w:val="18"/>
              </w:rPr>
              <w:t>euro</w:t>
            </w:r>
            <w:proofErr w:type="gramEnd"/>
          </w:p>
        </w:tc>
        <w:tc>
          <w:tcPr>
            <w:tcW w:w="1135" w:type="dxa"/>
            <w:shd w:val="clear" w:color="auto" w:fill="auto"/>
            <w:vAlign w:val="bottom"/>
          </w:tcPr>
          <w:p w:rsidR="009800BE" w:rsidRPr="00DA23C5" w:rsidRDefault="009800BE" w:rsidP="00446271">
            <w:pPr>
              <w:jc w:val="center"/>
              <w:rPr>
                <w:rFonts w:ascii="Verdana" w:hAnsi="Verdana"/>
                <w:sz w:val="18"/>
                <w:szCs w:val="18"/>
              </w:rPr>
            </w:pPr>
            <w:r w:rsidRPr="00DA23C5">
              <w:rPr>
                <w:rFonts w:ascii="Verdana" w:hAnsi="Verdana"/>
                <w:sz w:val="18"/>
                <w:szCs w:val="18"/>
              </w:rPr>
              <w:t xml:space="preserve">% </w:t>
            </w:r>
            <w:proofErr w:type="spellStart"/>
            <w:r w:rsidRPr="00DA23C5">
              <w:rPr>
                <w:rFonts w:ascii="Verdana" w:hAnsi="Verdana"/>
                <w:sz w:val="18"/>
                <w:szCs w:val="18"/>
              </w:rPr>
              <w:t>comp</w:t>
            </w:r>
            <w:proofErr w:type="spellEnd"/>
          </w:p>
        </w:tc>
        <w:tc>
          <w:tcPr>
            <w:tcW w:w="1417" w:type="dxa"/>
            <w:vAlign w:val="bottom"/>
          </w:tcPr>
          <w:p w:rsidR="009800BE" w:rsidRPr="00DA23C5" w:rsidRDefault="009800BE" w:rsidP="00446271">
            <w:pPr>
              <w:jc w:val="center"/>
              <w:rPr>
                <w:rFonts w:ascii="Verdana" w:hAnsi="Verdana"/>
                <w:sz w:val="18"/>
                <w:szCs w:val="18"/>
                <w:lang w:eastAsia="it-IT"/>
              </w:rPr>
            </w:pPr>
            <w:proofErr w:type="gramStart"/>
            <w:r w:rsidRPr="00DA23C5">
              <w:rPr>
                <w:rFonts w:ascii="Verdana" w:hAnsi="Verdana"/>
                <w:sz w:val="18"/>
                <w:szCs w:val="18"/>
              </w:rPr>
              <w:t>euro</w:t>
            </w:r>
            <w:proofErr w:type="gramEnd"/>
          </w:p>
        </w:tc>
        <w:tc>
          <w:tcPr>
            <w:tcW w:w="1162" w:type="dxa"/>
            <w:vAlign w:val="bottom"/>
          </w:tcPr>
          <w:p w:rsidR="009800BE" w:rsidRPr="00DA23C5" w:rsidRDefault="009800BE" w:rsidP="00446271">
            <w:pPr>
              <w:jc w:val="center"/>
              <w:rPr>
                <w:rFonts w:ascii="Verdana" w:hAnsi="Verdana"/>
                <w:sz w:val="18"/>
                <w:szCs w:val="18"/>
              </w:rPr>
            </w:pPr>
            <w:r w:rsidRPr="00DA23C5">
              <w:rPr>
                <w:rFonts w:ascii="Verdana" w:hAnsi="Verdana"/>
                <w:sz w:val="18"/>
                <w:szCs w:val="18"/>
              </w:rPr>
              <w:t xml:space="preserve">% </w:t>
            </w:r>
            <w:proofErr w:type="spellStart"/>
            <w:r w:rsidRPr="00DA23C5">
              <w:rPr>
                <w:rFonts w:ascii="Verdana" w:hAnsi="Verdana"/>
                <w:sz w:val="18"/>
                <w:szCs w:val="18"/>
              </w:rPr>
              <w:t>comp</w:t>
            </w:r>
            <w:proofErr w:type="spellEnd"/>
          </w:p>
        </w:tc>
        <w:tc>
          <w:tcPr>
            <w:tcW w:w="1390" w:type="dxa"/>
            <w:gridSpan w:val="2"/>
            <w:vAlign w:val="bottom"/>
          </w:tcPr>
          <w:p w:rsidR="009800BE" w:rsidRPr="00DA23C5" w:rsidRDefault="009800BE" w:rsidP="00446271">
            <w:pPr>
              <w:jc w:val="center"/>
              <w:rPr>
                <w:rFonts w:ascii="Verdana" w:hAnsi="Verdana"/>
                <w:sz w:val="18"/>
                <w:szCs w:val="18"/>
                <w:lang w:eastAsia="it-IT"/>
              </w:rPr>
            </w:pPr>
            <w:proofErr w:type="gramStart"/>
            <w:r w:rsidRPr="00DA23C5">
              <w:rPr>
                <w:rFonts w:ascii="Verdana" w:hAnsi="Verdana"/>
                <w:sz w:val="18"/>
                <w:szCs w:val="18"/>
              </w:rPr>
              <w:t>euro</w:t>
            </w:r>
            <w:proofErr w:type="gramEnd"/>
          </w:p>
        </w:tc>
        <w:tc>
          <w:tcPr>
            <w:tcW w:w="1134" w:type="dxa"/>
            <w:vAlign w:val="bottom"/>
          </w:tcPr>
          <w:p w:rsidR="009800BE" w:rsidRPr="00DA23C5" w:rsidRDefault="009800BE" w:rsidP="00446271">
            <w:pPr>
              <w:jc w:val="center"/>
              <w:rPr>
                <w:rFonts w:ascii="Verdana" w:hAnsi="Verdana"/>
                <w:sz w:val="18"/>
                <w:szCs w:val="18"/>
              </w:rPr>
            </w:pPr>
            <w:r w:rsidRPr="00DA23C5">
              <w:rPr>
                <w:rFonts w:ascii="Verdana" w:hAnsi="Verdana"/>
                <w:sz w:val="18"/>
                <w:szCs w:val="18"/>
              </w:rPr>
              <w:t xml:space="preserve">% </w:t>
            </w:r>
            <w:proofErr w:type="spellStart"/>
            <w:r w:rsidRPr="00DA23C5">
              <w:rPr>
                <w:rFonts w:ascii="Verdana" w:hAnsi="Verdana"/>
                <w:sz w:val="18"/>
                <w:szCs w:val="18"/>
              </w:rPr>
              <w:t>comp</w:t>
            </w:r>
            <w:proofErr w:type="spellEnd"/>
          </w:p>
        </w:tc>
      </w:tr>
      <w:tr w:rsidR="00DC0C1A" w:rsidRPr="00DA23C5" w:rsidTr="00446271">
        <w:tc>
          <w:tcPr>
            <w:tcW w:w="2835" w:type="dxa"/>
            <w:shd w:val="clear" w:color="auto" w:fill="auto"/>
            <w:vAlign w:val="center"/>
          </w:tcPr>
          <w:p w:rsidR="00DC0C1A" w:rsidRPr="00DA23C5" w:rsidRDefault="00DC0C1A" w:rsidP="00DC0C1A">
            <w:pPr>
              <w:rPr>
                <w:rFonts w:ascii="Verdana" w:hAnsi="Verdana" w:cs="Arial"/>
                <w:sz w:val="18"/>
                <w:szCs w:val="18"/>
                <w:lang w:eastAsia="it-IT"/>
              </w:rPr>
            </w:pPr>
            <w:proofErr w:type="gramStart"/>
            <w:r w:rsidRPr="00DA23C5">
              <w:rPr>
                <w:rFonts w:ascii="Verdana" w:hAnsi="Verdana" w:cs="Arial"/>
                <w:sz w:val="18"/>
                <w:szCs w:val="18"/>
              </w:rPr>
              <w:t>ricavi  per</w:t>
            </w:r>
            <w:proofErr w:type="gramEnd"/>
            <w:r w:rsidRPr="00DA23C5">
              <w:rPr>
                <w:rFonts w:ascii="Verdana" w:hAnsi="Verdana" w:cs="Arial"/>
                <w:sz w:val="18"/>
                <w:szCs w:val="18"/>
              </w:rPr>
              <w:t xml:space="preserve"> attività affidate da ATERSIR v/collettività enti soci</w:t>
            </w:r>
          </w:p>
        </w:tc>
        <w:tc>
          <w:tcPr>
            <w:tcW w:w="1417" w:type="dxa"/>
            <w:shd w:val="clear" w:color="auto" w:fill="auto"/>
            <w:vAlign w:val="center"/>
          </w:tcPr>
          <w:p w:rsidR="00DC0C1A" w:rsidRPr="00DA23C5" w:rsidRDefault="00DC0C1A" w:rsidP="00DC0C1A">
            <w:pPr>
              <w:jc w:val="right"/>
              <w:rPr>
                <w:rFonts w:ascii="Verdana" w:hAnsi="Verdana"/>
                <w:sz w:val="18"/>
                <w:szCs w:val="18"/>
                <w:lang w:eastAsia="it-IT"/>
              </w:rPr>
            </w:pPr>
            <w:r w:rsidRPr="00DA23C5">
              <w:rPr>
                <w:rFonts w:ascii="Verdana" w:hAnsi="Verdana"/>
                <w:sz w:val="18"/>
                <w:szCs w:val="18"/>
              </w:rPr>
              <w:t>51.184.066</w:t>
            </w:r>
          </w:p>
        </w:tc>
        <w:tc>
          <w:tcPr>
            <w:tcW w:w="1135" w:type="dxa"/>
            <w:shd w:val="clear" w:color="auto" w:fill="auto"/>
            <w:vAlign w:val="bottom"/>
          </w:tcPr>
          <w:p w:rsidR="00DC0C1A" w:rsidRPr="00DA23C5" w:rsidRDefault="00DC0C1A" w:rsidP="00DC0C1A">
            <w:pPr>
              <w:jc w:val="right"/>
              <w:rPr>
                <w:rFonts w:ascii="Verdana" w:hAnsi="Verdana"/>
                <w:sz w:val="18"/>
                <w:szCs w:val="18"/>
              </w:rPr>
            </w:pPr>
          </w:p>
        </w:tc>
        <w:tc>
          <w:tcPr>
            <w:tcW w:w="1417" w:type="dxa"/>
            <w:vAlign w:val="center"/>
          </w:tcPr>
          <w:p w:rsidR="00DC0C1A" w:rsidRPr="00DA23C5" w:rsidRDefault="00DC0C1A" w:rsidP="00DC0C1A">
            <w:pPr>
              <w:jc w:val="right"/>
              <w:rPr>
                <w:rFonts w:ascii="Verdana" w:hAnsi="Verdana"/>
                <w:sz w:val="18"/>
                <w:szCs w:val="18"/>
                <w:lang w:eastAsia="it-IT"/>
              </w:rPr>
            </w:pPr>
            <w:r w:rsidRPr="00DA23C5">
              <w:rPr>
                <w:rFonts w:ascii="Verdana" w:hAnsi="Verdana"/>
                <w:sz w:val="18"/>
                <w:szCs w:val="18"/>
              </w:rPr>
              <w:t>46.846.227</w:t>
            </w:r>
          </w:p>
        </w:tc>
        <w:tc>
          <w:tcPr>
            <w:tcW w:w="1162" w:type="dxa"/>
            <w:vAlign w:val="bottom"/>
          </w:tcPr>
          <w:p w:rsidR="00DC0C1A" w:rsidRPr="00DA23C5" w:rsidRDefault="00DC0C1A" w:rsidP="00DC0C1A">
            <w:pPr>
              <w:jc w:val="right"/>
              <w:rPr>
                <w:rFonts w:ascii="Verdana" w:hAnsi="Verdana"/>
                <w:sz w:val="18"/>
                <w:szCs w:val="18"/>
              </w:rPr>
            </w:pPr>
          </w:p>
        </w:tc>
        <w:tc>
          <w:tcPr>
            <w:tcW w:w="1390" w:type="dxa"/>
            <w:gridSpan w:val="2"/>
            <w:vAlign w:val="center"/>
          </w:tcPr>
          <w:p w:rsidR="00DC0C1A" w:rsidRPr="00DA23C5" w:rsidRDefault="00DC0C1A" w:rsidP="00DC0C1A">
            <w:pPr>
              <w:jc w:val="right"/>
              <w:rPr>
                <w:rFonts w:ascii="Verdana" w:hAnsi="Verdana"/>
                <w:sz w:val="18"/>
                <w:szCs w:val="18"/>
                <w:lang w:eastAsia="it-IT"/>
              </w:rPr>
            </w:pPr>
            <w:r w:rsidRPr="00DA23C5">
              <w:rPr>
                <w:rFonts w:ascii="Verdana" w:hAnsi="Verdana"/>
                <w:sz w:val="18"/>
                <w:szCs w:val="18"/>
              </w:rPr>
              <w:t>42.861.654</w:t>
            </w:r>
          </w:p>
        </w:tc>
        <w:tc>
          <w:tcPr>
            <w:tcW w:w="1134" w:type="dxa"/>
            <w:vAlign w:val="center"/>
          </w:tcPr>
          <w:p w:rsidR="00DC0C1A" w:rsidRPr="00DA23C5" w:rsidRDefault="00DC0C1A" w:rsidP="00DC0C1A">
            <w:pPr>
              <w:jc w:val="right"/>
              <w:rPr>
                <w:rFonts w:ascii="Verdana" w:hAnsi="Verdana"/>
                <w:sz w:val="18"/>
                <w:szCs w:val="18"/>
              </w:rPr>
            </w:pPr>
          </w:p>
        </w:tc>
      </w:tr>
      <w:tr w:rsidR="00DC0C1A" w:rsidRPr="00DA23C5" w:rsidTr="00446271">
        <w:tc>
          <w:tcPr>
            <w:tcW w:w="2835" w:type="dxa"/>
            <w:shd w:val="clear" w:color="auto" w:fill="auto"/>
            <w:vAlign w:val="center"/>
          </w:tcPr>
          <w:p w:rsidR="00DC0C1A" w:rsidRPr="00DA23C5" w:rsidRDefault="00DC0C1A" w:rsidP="00DC0C1A">
            <w:pPr>
              <w:rPr>
                <w:rFonts w:ascii="Verdana" w:hAnsi="Verdana" w:cs="Arial"/>
                <w:sz w:val="18"/>
                <w:szCs w:val="18"/>
              </w:rPr>
            </w:pPr>
            <w:proofErr w:type="gramStart"/>
            <w:r w:rsidRPr="00DA23C5">
              <w:rPr>
                <w:rFonts w:ascii="Verdana" w:hAnsi="Verdana" w:cs="Arial"/>
                <w:sz w:val="18"/>
                <w:szCs w:val="18"/>
              </w:rPr>
              <w:t>ricavi  per</w:t>
            </w:r>
            <w:proofErr w:type="gramEnd"/>
            <w:r w:rsidRPr="00DA23C5">
              <w:rPr>
                <w:rFonts w:ascii="Verdana" w:hAnsi="Verdana" w:cs="Arial"/>
                <w:sz w:val="18"/>
                <w:szCs w:val="18"/>
              </w:rPr>
              <w:t xml:space="preserve"> attività verso altri </w:t>
            </w:r>
          </w:p>
        </w:tc>
        <w:tc>
          <w:tcPr>
            <w:tcW w:w="1417" w:type="dxa"/>
            <w:shd w:val="clear" w:color="auto" w:fill="auto"/>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4.255.076</w:t>
            </w:r>
          </w:p>
        </w:tc>
        <w:tc>
          <w:tcPr>
            <w:tcW w:w="1135" w:type="dxa"/>
            <w:shd w:val="clear" w:color="auto" w:fill="auto"/>
            <w:vAlign w:val="bottom"/>
          </w:tcPr>
          <w:p w:rsidR="00DC0C1A" w:rsidRPr="00DA23C5" w:rsidRDefault="00DC0C1A" w:rsidP="00DC0C1A">
            <w:pPr>
              <w:jc w:val="right"/>
              <w:rPr>
                <w:rFonts w:ascii="Verdana" w:hAnsi="Verdana"/>
                <w:sz w:val="18"/>
                <w:szCs w:val="18"/>
              </w:rPr>
            </w:pPr>
          </w:p>
        </w:tc>
        <w:tc>
          <w:tcPr>
            <w:tcW w:w="1417" w:type="dxa"/>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3.408.694</w:t>
            </w:r>
          </w:p>
        </w:tc>
        <w:tc>
          <w:tcPr>
            <w:tcW w:w="1162" w:type="dxa"/>
            <w:vAlign w:val="bottom"/>
          </w:tcPr>
          <w:p w:rsidR="00DC0C1A" w:rsidRPr="00DA23C5" w:rsidRDefault="00DC0C1A" w:rsidP="00DC0C1A">
            <w:pPr>
              <w:jc w:val="right"/>
              <w:rPr>
                <w:rFonts w:ascii="Verdana" w:hAnsi="Verdana"/>
                <w:sz w:val="18"/>
                <w:szCs w:val="18"/>
              </w:rPr>
            </w:pPr>
          </w:p>
        </w:tc>
        <w:tc>
          <w:tcPr>
            <w:tcW w:w="1390" w:type="dxa"/>
            <w:gridSpan w:val="2"/>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3.764.591</w:t>
            </w:r>
          </w:p>
        </w:tc>
        <w:tc>
          <w:tcPr>
            <w:tcW w:w="1134" w:type="dxa"/>
            <w:vAlign w:val="center"/>
          </w:tcPr>
          <w:p w:rsidR="00DC0C1A" w:rsidRPr="00DA23C5" w:rsidRDefault="00DC0C1A" w:rsidP="00DC0C1A">
            <w:pPr>
              <w:jc w:val="right"/>
              <w:rPr>
                <w:rFonts w:ascii="Verdana" w:hAnsi="Verdana"/>
                <w:sz w:val="18"/>
                <w:szCs w:val="18"/>
              </w:rPr>
            </w:pPr>
          </w:p>
        </w:tc>
      </w:tr>
      <w:tr w:rsidR="00DC0C1A" w:rsidRPr="00DA23C5" w:rsidTr="00446271">
        <w:tc>
          <w:tcPr>
            <w:tcW w:w="2835" w:type="dxa"/>
            <w:shd w:val="clear" w:color="auto" w:fill="auto"/>
            <w:vAlign w:val="center"/>
          </w:tcPr>
          <w:p w:rsidR="00DC0C1A" w:rsidRPr="00DA23C5" w:rsidRDefault="00DC0C1A" w:rsidP="00DC0C1A">
            <w:pPr>
              <w:rPr>
                <w:rFonts w:ascii="Verdana" w:hAnsi="Verdana" w:cs="Arial"/>
                <w:b/>
                <w:bCs/>
                <w:sz w:val="18"/>
                <w:szCs w:val="18"/>
              </w:rPr>
            </w:pPr>
            <w:r w:rsidRPr="00DA23C5">
              <w:rPr>
                <w:rFonts w:ascii="Verdana" w:hAnsi="Verdana" w:cs="Arial"/>
                <w:b/>
                <w:bCs/>
                <w:sz w:val="18"/>
                <w:szCs w:val="18"/>
              </w:rPr>
              <w:t>a.1 ricavi delle vendite e delle prestazioni</w:t>
            </w:r>
          </w:p>
        </w:tc>
        <w:tc>
          <w:tcPr>
            <w:tcW w:w="1417" w:type="dxa"/>
            <w:shd w:val="clear" w:color="auto" w:fill="auto"/>
            <w:vAlign w:val="center"/>
          </w:tcPr>
          <w:p w:rsidR="00DC0C1A" w:rsidRPr="00DA23C5" w:rsidRDefault="00DC0C1A" w:rsidP="00DC0C1A">
            <w:pPr>
              <w:jc w:val="right"/>
              <w:rPr>
                <w:rFonts w:ascii="Verdana" w:hAnsi="Verdana"/>
                <w:b/>
                <w:bCs/>
                <w:sz w:val="18"/>
                <w:szCs w:val="18"/>
              </w:rPr>
            </w:pPr>
            <w:r w:rsidRPr="00DA23C5">
              <w:rPr>
                <w:rFonts w:ascii="Verdana" w:hAnsi="Verdana"/>
                <w:b/>
                <w:bCs/>
                <w:sz w:val="18"/>
                <w:szCs w:val="18"/>
              </w:rPr>
              <w:t>55.439.142</w:t>
            </w:r>
          </w:p>
        </w:tc>
        <w:tc>
          <w:tcPr>
            <w:tcW w:w="1135" w:type="dxa"/>
            <w:shd w:val="clear" w:color="auto" w:fill="auto"/>
            <w:vAlign w:val="bottom"/>
          </w:tcPr>
          <w:p w:rsidR="00DC0C1A" w:rsidRPr="00DA23C5" w:rsidRDefault="00DC0C1A" w:rsidP="00DC0C1A">
            <w:pPr>
              <w:jc w:val="right"/>
              <w:rPr>
                <w:rFonts w:ascii="Verdana" w:hAnsi="Verdana"/>
                <w:b/>
                <w:bCs/>
                <w:sz w:val="18"/>
                <w:szCs w:val="18"/>
              </w:rPr>
            </w:pPr>
          </w:p>
        </w:tc>
        <w:tc>
          <w:tcPr>
            <w:tcW w:w="1417" w:type="dxa"/>
            <w:vAlign w:val="center"/>
          </w:tcPr>
          <w:p w:rsidR="00DC0C1A" w:rsidRPr="00DA23C5" w:rsidRDefault="00DC0C1A" w:rsidP="00DC0C1A">
            <w:pPr>
              <w:jc w:val="right"/>
              <w:rPr>
                <w:rFonts w:ascii="Verdana" w:hAnsi="Verdana"/>
                <w:b/>
                <w:bCs/>
                <w:sz w:val="18"/>
                <w:szCs w:val="18"/>
              </w:rPr>
            </w:pPr>
            <w:r w:rsidRPr="00DA23C5">
              <w:rPr>
                <w:rFonts w:ascii="Verdana" w:hAnsi="Verdana"/>
                <w:b/>
                <w:bCs/>
                <w:sz w:val="18"/>
                <w:szCs w:val="18"/>
              </w:rPr>
              <w:t>50.254.922</w:t>
            </w:r>
          </w:p>
        </w:tc>
        <w:tc>
          <w:tcPr>
            <w:tcW w:w="1162" w:type="dxa"/>
            <w:vAlign w:val="bottom"/>
          </w:tcPr>
          <w:p w:rsidR="00DC0C1A" w:rsidRPr="00DA23C5" w:rsidRDefault="00DC0C1A" w:rsidP="00DC0C1A">
            <w:pPr>
              <w:jc w:val="right"/>
              <w:rPr>
                <w:rFonts w:ascii="Verdana" w:hAnsi="Verdana"/>
                <w:b/>
                <w:bCs/>
                <w:sz w:val="18"/>
                <w:szCs w:val="18"/>
              </w:rPr>
            </w:pPr>
          </w:p>
        </w:tc>
        <w:tc>
          <w:tcPr>
            <w:tcW w:w="1390" w:type="dxa"/>
            <w:gridSpan w:val="2"/>
            <w:vAlign w:val="center"/>
          </w:tcPr>
          <w:p w:rsidR="00DC0C1A" w:rsidRPr="00DA23C5" w:rsidRDefault="00DC0C1A" w:rsidP="00DC0C1A">
            <w:pPr>
              <w:jc w:val="right"/>
              <w:rPr>
                <w:rFonts w:ascii="Verdana" w:hAnsi="Verdana"/>
                <w:b/>
                <w:bCs/>
                <w:sz w:val="18"/>
                <w:szCs w:val="18"/>
              </w:rPr>
            </w:pPr>
            <w:r w:rsidRPr="00DA23C5">
              <w:rPr>
                <w:rFonts w:ascii="Verdana" w:hAnsi="Verdana"/>
                <w:b/>
                <w:bCs/>
                <w:sz w:val="18"/>
                <w:szCs w:val="18"/>
              </w:rPr>
              <w:t>46.626.245</w:t>
            </w:r>
          </w:p>
        </w:tc>
        <w:tc>
          <w:tcPr>
            <w:tcW w:w="1134" w:type="dxa"/>
            <w:vAlign w:val="center"/>
          </w:tcPr>
          <w:p w:rsidR="00DC0C1A" w:rsidRPr="00DA23C5" w:rsidRDefault="00DC0C1A" w:rsidP="00DC0C1A">
            <w:pPr>
              <w:jc w:val="right"/>
              <w:rPr>
                <w:rFonts w:ascii="Verdana" w:hAnsi="Verdana"/>
                <w:b/>
                <w:bCs/>
                <w:sz w:val="18"/>
                <w:szCs w:val="18"/>
              </w:rPr>
            </w:pPr>
          </w:p>
        </w:tc>
      </w:tr>
      <w:tr w:rsidR="00DC0C1A" w:rsidRPr="00DA23C5" w:rsidTr="00446271">
        <w:tc>
          <w:tcPr>
            <w:tcW w:w="2835" w:type="dxa"/>
            <w:shd w:val="clear" w:color="auto" w:fill="auto"/>
            <w:vAlign w:val="center"/>
          </w:tcPr>
          <w:p w:rsidR="00DC0C1A" w:rsidRPr="00DA23C5" w:rsidRDefault="00DC0C1A" w:rsidP="00DC0C1A">
            <w:pPr>
              <w:rPr>
                <w:rFonts w:ascii="Verdana" w:hAnsi="Verdana" w:cs="Arial"/>
                <w:sz w:val="18"/>
                <w:szCs w:val="18"/>
              </w:rPr>
            </w:pPr>
            <w:proofErr w:type="gramStart"/>
            <w:r w:rsidRPr="00DA23C5">
              <w:rPr>
                <w:rFonts w:ascii="Verdana" w:hAnsi="Verdana" w:cs="Arial"/>
                <w:sz w:val="18"/>
                <w:szCs w:val="18"/>
              </w:rPr>
              <w:lastRenderedPageBreak/>
              <w:t>ricavi  per</w:t>
            </w:r>
            <w:proofErr w:type="gramEnd"/>
            <w:r w:rsidRPr="00DA23C5">
              <w:rPr>
                <w:rFonts w:ascii="Verdana" w:hAnsi="Verdana" w:cs="Arial"/>
                <w:sz w:val="18"/>
                <w:szCs w:val="18"/>
              </w:rPr>
              <w:t xml:space="preserve"> attività affidate da ATERSIR v/collettività enti soci</w:t>
            </w:r>
          </w:p>
        </w:tc>
        <w:tc>
          <w:tcPr>
            <w:tcW w:w="1417" w:type="dxa"/>
            <w:shd w:val="clear" w:color="auto" w:fill="auto"/>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9.612.514</w:t>
            </w:r>
          </w:p>
        </w:tc>
        <w:tc>
          <w:tcPr>
            <w:tcW w:w="1135" w:type="dxa"/>
            <w:shd w:val="clear" w:color="auto" w:fill="auto"/>
            <w:vAlign w:val="bottom"/>
          </w:tcPr>
          <w:p w:rsidR="00DC0C1A" w:rsidRPr="00DA23C5" w:rsidRDefault="00DC0C1A" w:rsidP="00DC0C1A">
            <w:pPr>
              <w:jc w:val="right"/>
              <w:rPr>
                <w:rFonts w:ascii="Verdana" w:hAnsi="Verdana"/>
                <w:sz w:val="18"/>
                <w:szCs w:val="18"/>
              </w:rPr>
            </w:pPr>
          </w:p>
        </w:tc>
        <w:tc>
          <w:tcPr>
            <w:tcW w:w="1417" w:type="dxa"/>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15.487.081</w:t>
            </w:r>
          </w:p>
        </w:tc>
        <w:tc>
          <w:tcPr>
            <w:tcW w:w="1162" w:type="dxa"/>
            <w:vAlign w:val="bottom"/>
          </w:tcPr>
          <w:p w:rsidR="00DC0C1A" w:rsidRPr="00DA23C5" w:rsidRDefault="00DC0C1A" w:rsidP="00DC0C1A">
            <w:pPr>
              <w:jc w:val="right"/>
              <w:rPr>
                <w:rFonts w:ascii="Verdana" w:hAnsi="Verdana"/>
                <w:sz w:val="18"/>
                <w:szCs w:val="18"/>
              </w:rPr>
            </w:pPr>
          </w:p>
        </w:tc>
        <w:tc>
          <w:tcPr>
            <w:tcW w:w="1390" w:type="dxa"/>
            <w:gridSpan w:val="2"/>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9.318.514</w:t>
            </w:r>
          </w:p>
        </w:tc>
        <w:tc>
          <w:tcPr>
            <w:tcW w:w="1134" w:type="dxa"/>
            <w:vAlign w:val="center"/>
          </w:tcPr>
          <w:p w:rsidR="00DC0C1A" w:rsidRPr="00DA23C5" w:rsidRDefault="00DC0C1A" w:rsidP="00DC0C1A">
            <w:pPr>
              <w:jc w:val="right"/>
              <w:rPr>
                <w:rFonts w:ascii="Verdana" w:hAnsi="Verdana"/>
                <w:sz w:val="18"/>
                <w:szCs w:val="18"/>
              </w:rPr>
            </w:pPr>
          </w:p>
        </w:tc>
      </w:tr>
      <w:tr w:rsidR="00DC0C1A" w:rsidRPr="00DA23C5" w:rsidTr="00446271">
        <w:tc>
          <w:tcPr>
            <w:tcW w:w="2835" w:type="dxa"/>
            <w:shd w:val="clear" w:color="auto" w:fill="auto"/>
            <w:vAlign w:val="center"/>
          </w:tcPr>
          <w:p w:rsidR="00DC0C1A" w:rsidRPr="00DA23C5" w:rsidRDefault="00DC0C1A" w:rsidP="00DC0C1A">
            <w:pPr>
              <w:rPr>
                <w:rFonts w:ascii="Verdana" w:hAnsi="Verdana" w:cs="Arial"/>
                <w:sz w:val="18"/>
                <w:szCs w:val="18"/>
              </w:rPr>
            </w:pPr>
            <w:proofErr w:type="gramStart"/>
            <w:r w:rsidRPr="00DA23C5">
              <w:rPr>
                <w:rFonts w:ascii="Verdana" w:hAnsi="Verdana" w:cs="Arial"/>
                <w:sz w:val="18"/>
                <w:szCs w:val="18"/>
              </w:rPr>
              <w:t>ricavi  per</w:t>
            </w:r>
            <w:proofErr w:type="gramEnd"/>
            <w:r w:rsidRPr="00DA23C5">
              <w:rPr>
                <w:rFonts w:ascii="Verdana" w:hAnsi="Verdana" w:cs="Arial"/>
                <w:sz w:val="18"/>
                <w:szCs w:val="18"/>
              </w:rPr>
              <w:t xml:space="preserve"> attività verso altri </w:t>
            </w:r>
          </w:p>
        </w:tc>
        <w:tc>
          <w:tcPr>
            <w:tcW w:w="1417" w:type="dxa"/>
            <w:shd w:val="clear" w:color="auto" w:fill="auto"/>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1.493.061</w:t>
            </w:r>
          </w:p>
        </w:tc>
        <w:tc>
          <w:tcPr>
            <w:tcW w:w="1135" w:type="dxa"/>
            <w:shd w:val="clear" w:color="auto" w:fill="auto"/>
            <w:vAlign w:val="bottom"/>
          </w:tcPr>
          <w:p w:rsidR="00DC0C1A" w:rsidRPr="00DA23C5" w:rsidRDefault="00DC0C1A" w:rsidP="00DC0C1A">
            <w:pPr>
              <w:jc w:val="right"/>
              <w:rPr>
                <w:rFonts w:ascii="Verdana" w:hAnsi="Verdana"/>
                <w:sz w:val="18"/>
                <w:szCs w:val="18"/>
              </w:rPr>
            </w:pPr>
          </w:p>
        </w:tc>
        <w:tc>
          <w:tcPr>
            <w:tcW w:w="1417" w:type="dxa"/>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1.784.402</w:t>
            </w:r>
          </w:p>
        </w:tc>
        <w:tc>
          <w:tcPr>
            <w:tcW w:w="1162" w:type="dxa"/>
            <w:vAlign w:val="bottom"/>
          </w:tcPr>
          <w:p w:rsidR="00DC0C1A" w:rsidRPr="00DA23C5" w:rsidRDefault="00DC0C1A" w:rsidP="00DC0C1A">
            <w:pPr>
              <w:jc w:val="right"/>
              <w:rPr>
                <w:rFonts w:ascii="Verdana" w:hAnsi="Verdana"/>
                <w:sz w:val="18"/>
                <w:szCs w:val="18"/>
              </w:rPr>
            </w:pPr>
          </w:p>
        </w:tc>
        <w:tc>
          <w:tcPr>
            <w:tcW w:w="1390" w:type="dxa"/>
            <w:gridSpan w:val="2"/>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2.173.853</w:t>
            </w:r>
          </w:p>
        </w:tc>
        <w:tc>
          <w:tcPr>
            <w:tcW w:w="1134" w:type="dxa"/>
            <w:vAlign w:val="center"/>
          </w:tcPr>
          <w:p w:rsidR="00DC0C1A" w:rsidRPr="00DA23C5" w:rsidRDefault="00DC0C1A" w:rsidP="00DC0C1A">
            <w:pPr>
              <w:jc w:val="right"/>
              <w:rPr>
                <w:rFonts w:ascii="Verdana" w:hAnsi="Verdana"/>
                <w:sz w:val="18"/>
                <w:szCs w:val="18"/>
              </w:rPr>
            </w:pPr>
          </w:p>
        </w:tc>
      </w:tr>
      <w:tr w:rsidR="00DC0C1A" w:rsidRPr="00DA23C5" w:rsidTr="00446271">
        <w:trPr>
          <w:trHeight w:val="430"/>
        </w:trPr>
        <w:tc>
          <w:tcPr>
            <w:tcW w:w="2835" w:type="dxa"/>
            <w:shd w:val="clear" w:color="auto" w:fill="auto"/>
            <w:vAlign w:val="center"/>
          </w:tcPr>
          <w:p w:rsidR="00DC0C1A" w:rsidRPr="00DA23C5" w:rsidRDefault="00DC0C1A" w:rsidP="00DC0C1A">
            <w:pPr>
              <w:rPr>
                <w:rFonts w:ascii="Verdana" w:hAnsi="Verdana" w:cs="Arial"/>
                <w:b/>
                <w:bCs/>
                <w:sz w:val="18"/>
                <w:szCs w:val="18"/>
              </w:rPr>
            </w:pPr>
            <w:r w:rsidRPr="00DA23C5">
              <w:rPr>
                <w:rFonts w:ascii="Verdana" w:hAnsi="Verdana" w:cs="Arial"/>
                <w:b/>
                <w:bCs/>
                <w:sz w:val="18"/>
                <w:szCs w:val="18"/>
              </w:rPr>
              <w:t>a.5 altri ricavi e proventi</w:t>
            </w:r>
          </w:p>
        </w:tc>
        <w:tc>
          <w:tcPr>
            <w:tcW w:w="1417" w:type="dxa"/>
            <w:shd w:val="clear" w:color="auto" w:fill="auto"/>
            <w:vAlign w:val="center"/>
          </w:tcPr>
          <w:p w:rsidR="00DC0C1A" w:rsidRPr="00DA23C5" w:rsidRDefault="00DC0C1A" w:rsidP="00DC0C1A">
            <w:pPr>
              <w:jc w:val="right"/>
              <w:rPr>
                <w:rFonts w:ascii="Verdana" w:hAnsi="Verdana"/>
                <w:b/>
                <w:bCs/>
                <w:sz w:val="18"/>
                <w:szCs w:val="18"/>
              </w:rPr>
            </w:pPr>
            <w:r w:rsidRPr="00DA23C5">
              <w:rPr>
                <w:rFonts w:ascii="Verdana" w:hAnsi="Verdana"/>
                <w:b/>
                <w:bCs/>
                <w:sz w:val="18"/>
                <w:szCs w:val="18"/>
              </w:rPr>
              <w:t>11.105.575</w:t>
            </w:r>
          </w:p>
        </w:tc>
        <w:tc>
          <w:tcPr>
            <w:tcW w:w="1135" w:type="dxa"/>
            <w:shd w:val="clear" w:color="auto" w:fill="auto"/>
            <w:vAlign w:val="bottom"/>
          </w:tcPr>
          <w:p w:rsidR="00DC0C1A" w:rsidRPr="00DA23C5" w:rsidRDefault="00DC0C1A" w:rsidP="00DC0C1A">
            <w:pPr>
              <w:jc w:val="right"/>
              <w:rPr>
                <w:rFonts w:ascii="Verdana" w:hAnsi="Verdana"/>
                <w:b/>
                <w:bCs/>
                <w:sz w:val="18"/>
                <w:szCs w:val="18"/>
              </w:rPr>
            </w:pPr>
          </w:p>
        </w:tc>
        <w:tc>
          <w:tcPr>
            <w:tcW w:w="1417" w:type="dxa"/>
            <w:vAlign w:val="center"/>
          </w:tcPr>
          <w:p w:rsidR="00DC0C1A" w:rsidRPr="00DA23C5" w:rsidRDefault="00DC0C1A" w:rsidP="00DC0C1A">
            <w:pPr>
              <w:jc w:val="right"/>
              <w:rPr>
                <w:rFonts w:ascii="Verdana" w:hAnsi="Verdana"/>
                <w:b/>
                <w:bCs/>
                <w:sz w:val="18"/>
                <w:szCs w:val="18"/>
              </w:rPr>
            </w:pPr>
            <w:r w:rsidRPr="00DA23C5">
              <w:rPr>
                <w:rFonts w:ascii="Verdana" w:hAnsi="Verdana"/>
                <w:b/>
                <w:bCs/>
                <w:sz w:val="18"/>
                <w:szCs w:val="18"/>
              </w:rPr>
              <w:t>17.271.483</w:t>
            </w:r>
          </w:p>
        </w:tc>
        <w:tc>
          <w:tcPr>
            <w:tcW w:w="1162" w:type="dxa"/>
            <w:vAlign w:val="bottom"/>
          </w:tcPr>
          <w:p w:rsidR="00DC0C1A" w:rsidRPr="00DA23C5" w:rsidRDefault="00DC0C1A" w:rsidP="00DC0C1A">
            <w:pPr>
              <w:jc w:val="right"/>
              <w:rPr>
                <w:rFonts w:ascii="Verdana" w:hAnsi="Verdana"/>
                <w:b/>
                <w:bCs/>
                <w:sz w:val="18"/>
                <w:szCs w:val="18"/>
              </w:rPr>
            </w:pPr>
          </w:p>
        </w:tc>
        <w:tc>
          <w:tcPr>
            <w:tcW w:w="1390" w:type="dxa"/>
            <w:gridSpan w:val="2"/>
            <w:vAlign w:val="center"/>
          </w:tcPr>
          <w:p w:rsidR="00DC0C1A" w:rsidRPr="00DA23C5" w:rsidRDefault="00DC0C1A" w:rsidP="00DC0C1A">
            <w:pPr>
              <w:jc w:val="right"/>
              <w:rPr>
                <w:rFonts w:ascii="Verdana" w:hAnsi="Verdana"/>
                <w:b/>
                <w:bCs/>
                <w:sz w:val="18"/>
                <w:szCs w:val="18"/>
              </w:rPr>
            </w:pPr>
            <w:r w:rsidRPr="00DA23C5">
              <w:rPr>
                <w:rFonts w:ascii="Verdana" w:hAnsi="Verdana"/>
                <w:b/>
                <w:bCs/>
                <w:sz w:val="18"/>
                <w:szCs w:val="18"/>
              </w:rPr>
              <w:t>11.492.367</w:t>
            </w:r>
          </w:p>
        </w:tc>
        <w:tc>
          <w:tcPr>
            <w:tcW w:w="1134" w:type="dxa"/>
            <w:vAlign w:val="center"/>
          </w:tcPr>
          <w:p w:rsidR="00DC0C1A" w:rsidRPr="00DA23C5" w:rsidRDefault="00DC0C1A" w:rsidP="00DC0C1A">
            <w:pPr>
              <w:jc w:val="right"/>
              <w:rPr>
                <w:rFonts w:ascii="Verdana" w:hAnsi="Verdana"/>
                <w:b/>
                <w:bCs/>
                <w:sz w:val="18"/>
                <w:szCs w:val="18"/>
              </w:rPr>
            </w:pPr>
          </w:p>
        </w:tc>
      </w:tr>
      <w:tr w:rsidR="00DC0C1A" w:rsidRPr="00DA23C5" w:rsidTr="00446271">
        <w:tc>
          <w:tcPr>
            <w:tcW w:w="2835" w:type="dxa"/>
            <w:shd w:val="clear" w:color="auto" w:fill="auto"/>
            <w:vAlign w:val="center"/>
          </w:tcPr>
          <w:p w:rsidR="00DC0C1A" w:rsidRPr="00DA23C5" w:rsidRDefault="00DC0C1A" w:rsidP="00DC0C1A">
            <w:pPr>
              <w:rPr>
                <w:rFonts w:ascii="Verdana" w:hAnsi="Verdana" w:cs="Arial"/>
                <w:sz w:val="18"/>
                <w:szCs w:val="18"/>
              </w:rPr>
            </w:pPr>
            <w:proofErr w:type="gramStart"/>
            <w:r w:rsidRPr="00DA23C5">
              <w:rPr>
                <w:rFonts w:ascii="Verdana" w:hAnsi="Verdana" w:cs="Arial"/>
                <w:sz w:val="18"/>
                <w:szCs w:val="18"/>
              </w:rPr>
              <w:t>ricavi  per</w:t>
            </w:r>
            <w:proofErr w:type="gramEnd"/>
            <w:r w:rsidRPr="00DA23C5">
              <w:rPr>
                <w:rFonts w:ascii="Verdana" w:hAnsi="Verdana" w:cs="Arial"/>
                <w:sz w:val="18"/>
                <w:szCs w:val="18"/>
              </w:rPr>
              <w:t xml:space="preserve"> attività affidate da ATERSIR v/collettività enti soci</w:t>
            </w:r>
          </w:p>
        </w:tc>
        <w:tc>
          <w:tcPr>
            <w:tcW w:w="1417" w:type="dxa"/>
            <w:shd w:val="clear" w:color="auto" w:fill="auto"/>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60.796.580</w:t>
            </w:r>
          </w:p>
        </w:tc>
        <w:tc>
          <w:tcPr>
            <w:tcW w:w="1135" w:type="dxa"/>
            <w:shd w:val="clear" w:color="auto" w:fill="auto"/>
            <w:vAlign w:val="center"/>
          </w:tcPr>
          <w:p w:rsidR="00DC0C1A" w:rsidRPr="00DA23C5" w:rsidRDefault="00DC0C1A">
            <w:pPr>
              <w:jc w:val="right"/>
              <w:rPr>
                <w:rFonts w:ascii="Verdana" w:hAnsi="Verdana"/>
                <w:sz w:val="18"/>
                <w:szCs w:val="18"/>
              </w:rPr>
            </w:pPr>
            <w:r w:rsidRPr="00DA23C5">
              <w:rPr>
                <w:rFonts w:ascii="Verdana" w:hAnsi="Verdana"/>
                <w:sz w:val="18"/>
                <w:szCs w:val="18"/>
              </w:rPr>
              <w:t>91,36%</w:t>
            </w:r>
          </w:p>
        </w:tc>
        <w:tc>
          <w:tcPr>
            <w:tcW w:w="1417" w:type="dxa"/>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62.333.308</w:t>
            </w:r>
          </w:p>
        </w:tc>
        <w:tc>
          <w:tcPr>
            <w:tcW w:w="1162" w:type="dxa"/>
            <w:vAlign w:val="center"/>
          </w:tcPr>
          <w:p w:rsidR="00DC0C1A" w:rsidRPr="00DA23C5" w:rsidRDefault="00DC0C1A">
            <w:pPr>
              <w:jc w:val="right"/>
              <w:rPr>
                <w:rFonts w:ascii="Verdana" w:hAnsi="Verdana"/>
                <w:sz w:val="18"/>
                <w:szCs w:val="18"/>
              </w:rPr>
            </w:pPr>
            <w:r w:rsidRPr="00DA23C5">
              <w:rPr>
                <w:rFonts w:ascii="Verdana" w:hAnsi="Verdana"/>
                <w:sz w:val="18"/>
                <w:szCs w:val="18"/>
              </w:rPr>
              <w:t>93,31%</w:t>
            </w:r>
          </w:p>
        </w:tc>
        <w:tc>
          <w:tcPr>
            <w:tcW w:w="1390" w:type="dxa"/>
            <w:gridSpan w:val="2"/>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52.180.168</w:t>
            </w:r>
          </w:p>
        </w:tc>
        <w:tc>
          <w:tcPr>
            <w:tcW w:w="1134" w:type="dxa"/>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89,78%</w:t>
            </w:r>
          </w:p>
        </w:tc>
      </w:tr>
      <w:tr w:rsidR="00DC0C1A" w:rsidRPr="00DA23C5" w:rsidTr="00446271">
        <w:tc>
          <w:tcPr>
            <w:tcW w:w="2835" w:type="dxa"/>
            <w:shd w:val="clear" w:color="auto" w:fill="auto"/>
            <w:vAlign w:val="center"/>
          </w:tcPr>
          <w:p w:rsidR="00DC0C1A" w:rsidRPr="00DA23C5" w:rsidRDefault="00DC0C1A" w:rsidP="00DC0C1A">
            <w:pPr>
              <w:rPr>
                <w:rFonts w:ascii="Verdana" w:hAnsi="Verdana" w:cs="Arial"/>
                <w:sz w:val="18"/>
                <w:szCs w:val="18"/>
              </w:rPr>
            </w:pPr>
            <w:proofErr w:type="gramStart"/>
            <w:r w:rsidRPr="00DA23C5">
              <w:rPr>
                <w:rFonts w:ascii="Verdana" w:hAnsi="Verdana" w:cs="Arial"/>
                <w:sz w:val="18"/>
                <w:szCs w:val="18"/>
              </w:rPr>
              <w:t>ricavi  per</w:t>
            </w:r>
            <w:proofErr w:type="gramEnd"/>
            <w:r w:rsidRPr="00DA23C5">
              <w:rPr>
                <w:rFonts w:ascii="Verdana" w:hAnsi="Verdana" w:cs="Arial"/>
                <w:sz w:val="18"/>
                <w:szCs w:val="18"/>
              </w:rPr>
              <w:t xml:space="preserve"> attività verso altri </w:t>
            </w:r>
          </w:p>
        </w:tc>
        <w:tc>
          <w:tcPr>
            <w:tcW w:w="1417" w:type="dxa"/>
            <w:shd w:val="clear" w:color="auto" w:fill="auto"/>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5.748.137</w:t>
            </w:r>
          </w:p>
        </w:tc>
        <w:tc>
          <w:tcPr>
            <w:tcW w:w="1135" w:type="dxa"/>
            <w:shd w:val="clear" w:color="auto" w:fill="auto"/>
            <w:vAlign w:val="center"/>
          </w:tcPr>
          <w:p w:rsidR="00DC0C1A" w:rsidRPr="00DA23C5" w:rsidRDefault="00DC0C1A">
            <w:pPr>
              <w:jc w:val="right"/>
              <w:rPr>
                <w:rFonts w:ascii="Verdana" w:hAnsi="Verdana"/>
                <w:sz w:val="18"/>
                <w:szCs w:val="18"/>
              </w:rPr>
            </w:pPr>
            <w:r w:rsidRPr="00DA23C5">
              <w:rPr>
                <w:rFonts w:ascii="Verdana" w:hAnsi="Verdana"/>
                <w:sz w:val="18"/>
                <w:szCs w:val="18"/>
              </w:rPr>
              <w:t>8,64%</w:t>
            </w:r>
          </w:p>
        </w:tc>
        <w:tc>
          <w:tcPr>
            <w:tcW w:w="1417" w:type="dxa"/>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5.193.096</w:t>
            </w:r>
          </w:p>
        </w:tc>
        <w:tc>
          <w:tcPr>
            <w:tcW w:w="1162" w:type="dxa"/>
            <w:vAlign w:val="center"/>
          </w:tcPr>
          <w:p w:rsidR="00DC0C1A" w:rsidRPr="00DA23C5" w:rsidRDefault="00DC0C1A">
            <w:pPr>
              <w:jc w:val="right"/>
              <w:rPr>
                <w:rFonts w:ascii="Verdana" w:hAnsi="Verdana"/>
                <w:sz w:val="18"/>
                <w:szCs w:val="18"/>
              </w:rPr>
            </w:pPr>
            <w:r w:rsidRPr="00DA23C5">
              <w:rPr>
                <w:rFonts w:ascii="Verdana" w:hAnsi="Verdana"/>
                <w:sz w:val="18"/>
                <w:szCs w:val="18"/>
              </w:rPr>
              <w:t>7,69%</w:t>
            </w:r>
          </w:p>
        </w:tc>
        <w:tc>
          <w:tcPr>
            <w:tcW w:w="1390" w:type="dxa"/>
            <w:gridSpan w:val="2"/>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5.938.444</w:t>
            </w:r>
          </w:p>
        </w:tc>
        <w:tc>
          <w:tcPr>
            <w:tcW w:w="1134" w:type="dxa"/>
            <w:vAlign w:val="center"/>
          </w:tcPr>
          <w:p w:rsidR="00DC0C1A" w:rsidRPr="00DA23C5" w:rsidRDefault="00DC0C1A" w:rsidP="00DC0C1A">
            <w:pPr>
              <w:jc w:val="right"/>
              <w:rPr>
                <w:rFonts w:ascii="Verdana" w:hAnsi="Verdana"/>
                <w:sz w:val="18"/>
                <w:szCs w:val="18"/>
              </w:rPr>
            </w:pPr>
            <w:r w:rsidRPr="00DA23C5">
              <w:rPr>
                <w:rFonts w:ascii="Verdana" w:hAnsi="Verdana"/>
                <w:sz w:val="18"/>
                <w:szCs w:val="18"/>
              </w:rPr>
              <w:t>10,22%</w:t>
            </w:r>
          </w:p>
        </w:tc>
      </w:tr>
      <w:tr w:rsidR="00DC0C1A" w:rsidRPr="00DA23C5" w:rsidTr="00446271">
        <w:tc>
          <w:tcPr>
            <w:tcW w:w="2835" w:type="dxa"/>
            <w:shd w:val="clear" w:color="auto" w:fill="auto"/>
            <w:vAlign w:val="center"/>
          </w:tcPr>
          <w:p w:rsidR="00DC0C1A" w:rsidRPr="00DA23C5" w:rsidRDefault="00DC0C1A" w:rsidP="00DC0C1A">
            <w:pPr>
              <w:rPr>
                <w:rFonts w:ascii="Verdana" w:hAnsi="Verdana" w:cs="Arial"/>
                <w:b/>
                <w:bCs/>
                <w:sz w:val="18"/>
                <w:szCs w:val="18"/>
              </w:rPr>
            </w:pPr>
            <w:r w:rsidRPr="00DA23C5">
              <w:rPr>
                <w:rFonts w:ascii="Verdana" w:hAnsi="Verdana" w:cs="Arial"/>
                <w:b/>
                <w:bCs/>
                <w:sz w:val="18"/>
                <w:szCs w:val="18"/>
              </w:rPr>
              <w:t xml:space="preserve">Valore della </w:t>
            </w:r>
            <w:proofErr w:type="spellStart"/>
            <w:r w:rsidRPr="00DA23C5">
              <w:rPr>
                <w:rFonts w:ascii="Verdana" w:hAnsi="Verdana" w:cs="Arial"/>
                <w:b/>
                <w:bCs/>
                <w:sz w:val="18"/>
                <w:szCs w:val="18"/>
              </w:rPr>
              <w:t>Produz</w:t>
            </w:r>
            <w:proofErr w:type="spellEnd"/>
            <w:r w:rsidRPr="00DA23C5">
              <w:rPr>
                <w:rFonts w:ascii="Verdana" w:hAnsi="Verdana" w:cs="Arial"/>
                <w:b/>
                <w:bCs/>
                <w:sz w:val="18"/>
                <w:szCs w:val="18"/>
              </w:rPr>
              <w:t>.  (</w:t>
            </w:r>
            <w:proofErr w:type="gramStart"/>
            <w:r w:rsidRPr="00DA23C5">
              <w:rPr>
                <w:rFonts w:ascii="Verdana" w:hAnsi="Verdana" w:cs="Arial"/>
                <w:b/>
                <w:bCs/>
                <w:sz w:val="18"/>
                <w:szCs w:val="18"/>
              </w:rPr>
              <w:t>netto</w:t>
            </w:r>
            <w:proofErr w:type="gramEnd"/>
            <w:r w:rsidRPr="00DA23C5">
              <w:rPr>
                <w:rFonts w:ascii="Verdana" w:hAnsi="Verdana" w:cs="Arial"/>
                <w:b/>
                <w:bCs/>
                <w:sz w:val="18"/>
                <w:szCs w:val="18"/>
              </w:rPr>
              <w:t xml:space="preserve"> </w:t>
            </w:r>
            <w:proofErr w:type="spellStart"/>
            <w:r w:rsidRPr="00DA23C5">
              <w:rPr>
                <w:rFonts w:ascii="Verdana" w:hAnsi="Verdana" w:cs="Arial"/>
                <w:b/>
                <w:bCs/>
                <w:sz w:val="18"/>
                <w:szCs w:val="18"/>
              </w:rPr>
              <w:t>capitaliz</w:t>
            </w:r>
            <w:proofErr w:type="spellEnd"/>
            <w:r w:rsidRPr="00DA23C5">
              <w:rPr>
                <w:rFonts w:ascii="Verdana" w:hAnsi="Verdana" w:cs="Arial"/>
                <w:b/>
                <w:bCs/>
                <w:sz w:val="18"/>
                <w:szCs w:val="18"/>
              </w:rPr>
              <w:t xml:space="preserve"> costi interni)</w:t>
            </w:r>
          </w:p>
        </w:tc>
        <w:tc>
          <w:tcPr>
            <w:tcW w:w="1417" w:type="dxa"/>
            <w:shd w:val="clear" w:color="auto" w:fill="auto"/>
            <w:vAlign w:val="center"/>
          </w:tcPr>
          <w:p w:rsidR="00DC0C1A" w:rsidRPr="00DA23C5" w:rsidRDefault="00DC0C1A" w:rsidP="00DC0C1A">
            <w:pPr>
              <w:jc w:val="right"/>
              <w:rPr>
                <w:rFonts w:ascii="Verdana" w:hAnsi="Verdana"/>
                <w:b/>
                <w:bCs/>
                <w:sz w:val="18"/>
                <w:szCs w:val="18"/>
              </w:rPr>
            </w:pPr>
            <w:r w:rsidRPr="00DA23C5">
              <w:rPr>
                <w:rFonts w:ascii="Verdana" w:hAnsi="Verdana"/>
                <w:b/>
                <w:bCs/>
                <w:sz w:val="18"/>
                <w:szCs w:val="18"/>
              </w:rPr>
              <w:t>66.544.717</w:t>
            </w:r>
          </w:p>
        </w:tc>
        <w:tc>
          <w:tcPr>
            <w:tcW w:w="1135" w:type="dxa"/>
            <w:shd w:val="clear" w:color="auto" w:fill="auto"/>
            <w:vAlign w:val="center"/>
          </w:tcPr>
          <w:p w:rsidR="00DC0C1A" w:rsidRPr="00DA23C5" w:rsidRDefault="00DC0C1A" w:rsidP="00DC0C1A">
            <w:pPr>
              <w:jc w:val="right"/>
              <w:rPr>
                <w:rFonts w:ascii="Verdana" w:hAnsi="Verdana"/>
                <w:b/>
                <w:bCs/>
                <w:sz w:val="18"/>
                <w:szCs w:val="18"/>
              </w:rPr>
            </w:pPr>
            <w:r w:rsidRPr="00DA23C5">
              <w:rPr>
                <w:rFonts w:ascii="Verdana" w:hAnsi="Verdana"/>
                <w:b/>
                <w:bCs/>
                <w:sz w:val="18"/>
                <w:szCs w:val="18"/>
              </w:rPr>
              <w:t>100,00%</w:t>
            </w:r>
          </w:p>
        </w:tc>
        <w:tc>
          <w:tcPr>
            <w:tcW w:w="1417" w:type="dxa"/>
            <w:vAlign w:val="center"/>
          </w:tcPr>
          <w:p w:rsidR="00DC0C1A" w:rsidRPr="00DA23C5" w:rsidRDefault="00DC0C1A" w:rsidP="00DC0C1A">
            <w:pPr>
              <w:jc w:val="right"/>
              <w:rPr>
                <w:rFonts w:ascii="Verdana" w:hAnsi="Verdana"/>
                <w:b/>
                <w:bCs/>
                <w:sz w:val="18"/>
                <w:szCs w:val="18"/>
              </w:rPr>
            </w:pPr>
            <w:r w:rsidRPr="00DA23C5">
              <w:rPr>
                <w:rFonts w:ascii="Verdana" w:hAnsi="Verdana"/>
                <w:b/>
                <w:bCs/>
                <w:sz w:val="18"/>
                <w:szCs w:val="18"/>
              </w:rPr>
              <w:t>67.526.404</w:t>
            </w:r>
          </w:p>
        </w:tc>
        <w:tc>
          <w:tcPr>
            <w:tcW w:w="1162" w:type="dxa"/>
            <w:vAlign w:val="center"/>
          </w:tcPr>
          <w:p w:rsidR="00DC0C1A" w:rsidRPr="00DA23C5" w:rsidRDefault="00DC0C1A" w:rsidP="00DC0C1A">
            <w:pPr>
              <w:jc w:val="right"/>
              <w:rPr>
                <w:rFonts w:ascii="Verdana" w:hAnsi="Verdana"/>
                <w:b/>
                <w:bCs/>
                <w:sz w:val="18"/>
                <w:szCs w:val="18"/>
              </w:rPr>
            </w:pPr>
            <w:r w:rsidRPr="00DA23C5">
              <w:rPr>
                <w:rFonts w:ascii="Verdana" w:hAnsi="Verdana"/>
                <w:b/>
                <w:bCs/>
                <w:sz w:val="18"/>
                <w:szCs w:val="18"/>
              </w:rPr>
              <w:t>100,00%</w:t>
            </w:r>
          </w:p>
        </w:tc>
        <w:tc>
          <w:tcPr>
            <w:tcW w:w="1390" w:type="dxa"/>
            <w:gridSpan w:val="2"/>
            <w:vAlign w:val="center"/>
          </w:tcPr>
          <w:p w:rsidR="00DC0C1A" w:rsidRPr="00DA23C5" w:rsidRDefault="00DC0C1A" w:rsidP="00DC0C1A">
            <w:pPr>
              <w:jc w:val="right"/>
              <w:rPr>
                <w:rFonts w:ascii="Verdana" w:hAnsi="Verdana"/>
                <w:b/>
                <w:bCs/>
                <w:sz w:val="18"/>
                <w:szCs w:val="18"/>
              </w:rPr>
            </w:pPr>
            <w:r w:rsidRPr="00DA23C5">
              <w:rPr>
                <w:rFonts w:ascii="Verdana" w:hAnsi="Verdana"/>
                <w:b/>
                <w:bCs/>
                <w:sz w:val="18"/>
                <w:szCs w:val="18"/>
              </w:rPr>
              <w:t>58.118.612</w:t>
            </w:r>
          </w:p>
        </w:tc>
        <w:tc>
          <w:tcPr>
            <w:tcW w:w="1134" w:type="dxa"/>
            <w:vAlign w:val="center"/>
          </w:tcPr>
          <w:p w:rsidR="00DC0C1A" w:rsidRPr="00DA23C5" w:rsidRDefault="00DC0C1A" w:rsidP="00DC0C1A">
            <w:pPr>
              <w:jc w:val="right"/>
              <w:rPr>
                <w:rFonts w:ascii="Verdana" w:hAnsi="Verdana"/>
                <w:b/>
                <w:bCs/>
                <w:sz w:val="18"/>
                <w:szCs w:val="18"/>
              </w:rPr>
            </w:pPr>
            <w:r w:rsidRPr="00DA23C5">
              <w:rPr>
                <w:rFonts w:ascii="Verdana" w:hAnsi="Verdana"/>
                <w:b/>
                <w:bCs/>
                <w:sz w:val="18"/>
                <w:szCs w:val="18"/>
              </w:rPr>
              <w:t>100,00%</w:t>
            </w:r>
          </w:p>
        </w:tc>
      </w:tr>
    </w:tbl>
    <w:p w:rsidR="00407873" w:rsidRPr="00DA23C5" w:rsidRDefault="00407873" w:rsidP="00071495">
      <w:pPr>
        <w:jc w:val="both"/>
        <w:rPr>
          <w:rFonts w:ascii="Verdana" w:hAnsi="Verdana"/>
          <w:snapToGrid w:val="0"/>
          <w:sz w:val="18"/>
          <w:szCs w:val="18"/>
        </w:rPr>
      </w:pPr>
      <w:r w:rsidRPr="00DA23C5">
        <w:rPr>
          <w:rFonts w:ascii="Verdana" w:hAnsi="Verdana"/>
          <w:snapToGrid w:val="0"/>
          <w:sz w:val="18"/>
          <w:szCs w:val="18"/>
        </w:rPr>
        <w:t xml:space="preserve">L’attività svolta dalla Società e regolamentata da ATERSIR si </w:t>
      </w:r>
      <w:r w:rsidR="009800BE" w:rsidRPr="00DA23C5">
        <w:rPr>
          <w:rFonts w:ascii="Verdana" w:hAnsi="Verdana"/>
          <w:snapToGrid w:val="0"/>
          <w:sz w:val="18"/>
          <w:szCs w:val="18"/>
        </w:rPr>
        <w:t xml:space="preserve">conferma nell’ordine del </w:t>
      </w:r>
      <w:r w:rsidRPr="00DA23C5">
        <w:rPr>
          <w:rFonts w:ascii="Verdana" w:hAnsi="Verdana"/>
          <w:snapToGrid w:val="0"/>
          <w:sz w:val="18"/>
          <w:szCs w:val="18"/>
        </w:rPr>
        <w:t>9</w:t>
      </w:r>
      <w:r w:rsidR="009800BE" w:rsidRPr="00DA23C5">
        <w:rPr>
          <w:rFonts w:ascii="Verdana" w:hAnsi="Verdana"/>
          <w:snapToGrid w:val="0"/>
          <w:sz w:val="18"/>
          <w:szCs w:val="18"/>
        </w:rPr>
        <w:t>0</w:t>
      </w:r>
      <w:r w:rsidRPr="00DA23C5">
        <w:rPr>
          <w:rFonts w:ascii="Verdana" w:hAnsi="Verdana"/>
          <w:snapToGrid w:val="0"/>
          <w:sz w:val="18"/>
          <w:szCs w:val="18"/>
        </w:rPr>
        <w:t xml:space="preserve">% del totale; le restanti attività che concorrono a determinare il Valore della Produzione sono relative principalmente a servizi di telefonia-telecomunicazioni e vendita di energia elettrica, trattasi di attività che attraverso la valorizzazione del patrimonio infrastrutturale della società consentono di </w:t>
      </w:r>
      <w:r w:rsidRPr="00DA23C5">
        <w:rPr>
          <w:rFonts w:ascii="Verdana" w:hAnsi="Verdana"/>
          <w:sz w:val="18"/>
          <w:szCs w:val="18"/>
        </w:rPr>
        <w:t>determinare “</w:t>
      </w:r>
      <w:r w:rsidRPr="00DA23C5">
        <w:rPr>
          <w:rFonts w:ascii="Verdana" w:hAnsi="Verdana"/>
          <w:i/>
          <w:sz w:val="18"/>
          <w:szCs w:val="18"/>
        </w:rPr>
        <w:t>economie di scala o altri recuperi di efficienza sul complesso dell’attività principale</w:t>
      </w:r>
      <w:r w:rsidRPr="00DA23C5">
        <w:rPr>
          <w:rFonts w:ascii="Verdana" w:hAnsi="Verdana"/>
          <w:sz w:val="18"/>
          <w:szCs w:val="18"/>
        </w:rPr>
        <w:t xml:space="preserve">”. </w:t>
      </w:r>
    </w:p>
    <w:p w:rsidR="00407873" w:rsidRPr="00DA23C5" w:rsidRDefault="00407873" w:rsidP="00071495">
      <w:pPr>
        <w:jc w:val="both"/>
        <w:rPr>
          <w:rFonts w:ascii="Verdana" w:hAnsi="Verdana"/>
          <w:b/>
          <w:color w:val="FF0000"/>
          <w:sz w:val="18"/>
          <w:szCs w:val="18"/>
        </w:rPr>
      </w:pPr>
      <w:r w:rsidRPr="00DA23C5">
        <w:rPr>
          <w:rFonts w:ascii="Verdana" w:hAnsi="Verdana"/>
          <w:b/>
          <w:sz w:val="18"/>
          <w:szCs w:val="18"/>
        </w:rPr>
        <w:t>5) Art. 19 “</w:t>
      </w:r>
      <w:r w:rsidR="004738FF" w:rsidRPr="00DA23C5">
        <w:rPr>
          <w:rFonts w:ascii="Verdana" w:hAnsi="Verdana"/>
          <w:b/>
          <w:sz w:val="18"/>
          <w:szCs w:val="18"/>
        </w:rPr>
        <w:t>contenimento dei costi di funzionamento ivi compresi quelli del personale”</w:t>
      </w:r>
      <w:r w:rsidRPr="00DA23C5">
        <w:rPr>
          <w:rFonts w:ascii="Verdana" w:hAnsi="Verdana"/>
          <w:b/>
          <w:sz w:val="18"/>
          <w:szCs w:val="18"/>
        </w:rPr>
        <w:t xml:space="preserve"> </w:t>
      </w:r>
      <w:r w:rsidRPr="00DA23C5">
        <w:rPr>
          <w:rFonts w:ascii="Verdana" w:hAnsi="Verdana"/>
          <w:b/>
          <w:i/>
          <w:sz w:val="18"/>
          <w:szCs w:val="18"/>
        </w:rPr>
        <w:t>e</w:t>
      </w:r>
      <w:r w:rsidRPr="00DA23C5">
        <w:rPr>
          <w:rFonts w:ascii="Verdana" w:hAnsi="Verdana"/>
          <w:b/>
          <w:sz w:val="18"/>
          <w:szCs w:val="18"/>
        </w:rPr>
        <w:t xml:space="preserve"> art. 25 “</w:t>
      </w:r>
      <w:r w:rsidRPr="00DA23C5">
        <w:rPr>
          <w:rFonts w:ascii="Verdana" w:hAnsi="Verdana"/>
          <w:b/>
          <w:i/>
          <w:sz w:val="18"/>
          <w:szCs w:val="18"/>
        </w:rPr>
        <w:t>disposizioni transitorie in materia di personale</w:t>
      </w:r>
      <w:r w:rsidR="000A2BA6" w:rsidRPr="00DA23C5">
        <w:rPr>
          <w:rFonts w:ascii="Verdana" w:hAnsi="Verdana"/>
          <w:b/>
          <w:sz w:val="18"/>
          <w:szCs w:val="18"/>
        </w:rPr>
        <w:t>”</w:t>
      </w:r>
    </w:p>
    <w:p w:rsidR="000A2BA6" w:rsidRPr="00DA23C5" w:rsidRDefault="000A2BA6" w:rsidP="00071495">
      <w:pPr>
        <w:pStyle w:val="BodyText21"/>
        <w:tabs>
          <w:tab w:val="left" w:pos="0"/>
        </w:tabs>
        <w:ind w:firstLine="0"/>
        <w:rPr>
          <w:rFonts w:ascii="Verdana" w:hAnsi="Verdana"/>
          <w:sz w:val="18"/>
          <w:szCs w:val="18"/>
        </w:rPr>
      </w:pPr>
      <w:r w:rsidRPr="00DA23C5">
        <w:rPr>
          <w:rFonts w:ascii="Verdana" w:hAnsi="Verdana"/>
          <w:i w:val="0"/>
          <w:sz w:val="18"/>
          <w:szCs w:val="18"/>
          <w:u w:val="none"/>
          <w:lang w:eastAsia="zh-CN"/>
        </w:rPr>
        <w:t>I</w:t>
      </w:r>
      <w:r w:rsidRPr="00DA23C5">
        <w:rPr>
          <w:rFonts w:ascii="Verdana" w:hAnsi="Verdana"/>
          <w:i w:val="0"/>
          <w:sz w:val="18"/>
          <w:szCs w:val="18"/>
          <w:u w:val="none"/>
        </w:rPr>
        <w:t xml:space="preserve">l quadro normativo in materia di assunzioni e spesa del personale per le società in controllo pubblico che gestiscono servizi di interesse generale, è definito dal </w:t>
      </w:r>
      <w:proofErr w:type="spellStart"/>
      <w:r w:rsidRPr="00DA23C5">
        <w:rPr>
          <w:rFonts w:ascii="Verdana" w:hAnsi="Verdana"/>
          <w:i w:val="0"/>
          <w:sz w:val="18"/>
          <w:szCs w:val="18"/>
          <w:u w:val="none"/>
        </w:rPr>
        <w:t>DLgs</w:t>
      </w:r>
      <w:proofErr w:type="spellEnd"/>
      <w:r w:rsidRPr="00DA23C5">
        <w:rPr>
          <w:rFonts w:ascii="Verdana" w:hAnsi="Verdana"/>
          <w:i w:val="0"/>
          <w:sz w:val="18"/>
          <w:szCs w:val="18"/>
          <w:u w:val="none"/>
        </w:rPr>
        <w:t xml:space="preserve"> 175 che di fatto ha portato al superamento di tutte le precedenti disposizioni: le società a controllo pubblico devono recepire con propri provvedimenti gli obiettivi specifici, annuali e pluriennali che “</w:t>
      </w:r>
      <w:r w:rsidRPr="00DA23C5">
        <w:rPr>
          <w:rFonts w:ascii="Verdana" w:hAnsi="Verdana"/>
          <w:sz w:val="18"/>
          <w:szCs w:val="18"/>
          <w:u w:val="none"/>
        </w:rPr>
        <w:t>le amministrazioni pubbliche socie fissano, con propri provvedimenti,… sul complesso delle spese di funzionamento, ivi comprese quelle per il personale, tenuto conto del settore in cui ciascun soggetto opera”.</w:t>
      </w:r>
    </w:p>
    <w:p w:rsidR="004738FF" w:rsidRPr="00DA23C5" w:rsidRDefault="004738FF" w:rsidP="00071495">
      <w:pPr>
        <w:pStyle w:val="BodyText21"/>
        <w:tabs>
          <w:tab w:val="left" w:pos="0"/>
        </w:tabs>
        <w:ind w:firstLine="0"/>
        <w:rPr>
          <w:rFonts w:ascii="Verdana" w:hAnsi="Verdana"/>
          <w:b/>
          <w:i w:val="0"/>
          <w:sz w:val="18"/>
          <w:szCs w:val="18"/>
          <w:u w:val="none"/>
        </w:rPr>
      </w:pPr>
      <w:r w:rsidRPr="00DA23C5">
        <w:rPr>
          <w:rFonts w:ascii="Verdana" w:hAnsi="Verdana"/>
          <w:b/>
          <w:i w:val="0"/>
          <w:sz w:val="18"/>
          <w:szCs w:val="18"/>
          <w:u w:val="none"/>
        </w:rPr>
        <w:t>5.a) la gestione del personale</w:t>
      </w:r>
    </w:p>
    <w:p w:rsidR="0074500C" w:rsidRPr="00DA23C5" w:rsidRDefault="0074500C" w:rsidP="0074500C">
      <w:pPr>
        <w:pStyle w:val="BodyText21"/>
        <w:tabs>
          <w:tab w:val="left" w:pos="0"/>
        </w:tabs>
        <w:ind w:firstLine="0"/>
        <w:rPr>
          <w:rFonts w:ascii="Verdana" w:hAnsi="Verdana"/>
          <w:sz w:val="18"/>
          <w:szCs w:val="18"/>
        </w:rPr>
      </w:pPr>
      <w:r w:rsidRPr="00DA23C5">
        <w:rPr>
          <w:rFonts w:ascii="Verdana" w:hAnsi="Verdana"/>
          <w:i w:val="0"/>
          <w:sz w:val="18"/>
          <w:szCs w:val="18"/>
          <w:u w:val="none"/>
          <w:lang w:eastAsia="zh-CN"/>
        </w:rPr>
        <w:t>I</w:t>
      </w:r>
      <w:r w:rsidRPr="00DA23C5">
        <w:rPr>
          <w:rFonts w:ascii="Verdana" w:hAnsi="Verdana"/>
          <w:i w:val="0"/>
          <w:sz w:val="18"/>
          <w:szCs w:val="18"/>
          <w:u w:val="none"/>
        </w:rPr>
        <w:t xml:space="preserve">l quadro normativo in materia di assunzioni e spesa del personale per le società in controllo pubblico che gestiscono servizi di interesse generale, è definito dal </w:t>
      </w:r>
      <w:proofErr w:type="spellStart"/>
      <w:r w:rsidRPr="00DA23C5">
        <w:rPr>
          <w:rFonts w:ascii="Verdana" w:hAnsi="Verdana"/>
          <w:i w:val="0"/>
          <w:sz w:val="18"/>
          <w:szCs w:val="18"/>
          <w:u w:val="none"/>
        </w:rPr>
        <w:t>DLgs</w:t>
      </w:r>
      <w:proofErr w:type="spellEnd"/>
      <w:r w:rsidRPr="00DA23C5">
        <w:rPr>
          <w:rFonts w:ascii="Verdana" w:hAnsi="Verdana"/>
          <w:i w:val="0"/>
          <w:sz w:val="18"/>
          <w:szCs w:val="18"/>
          <w:u w:val="none"/>
        </w:rPr>
        <w:t xml:space="preserve"> 175 che di fatto ha portato al superamento di tutte le precedenti disposizioni: le società a controllo pubblico devono recepire con propri provvedimenti gli obiettivi specifici, annuali e pluriennali che “</w:t>
      </w:r>
      <w:r w:rsidRPr="00DA23C5">
        <w:rPr>
          <w:rFonts w:ascii="Verdana" w:hAnsi="Verdana"/>
          <w:sz w:val="18"/>
          <w:szCs w:val="18"/>
          <w:u w:val="none"/>
        </w:rPr>
        <w:t>le amministrazioni pubbliche socie fissano, con propri provvedimenti,… sul complesso delle spese di funzionamento, ivi comprese quelle per il personale, tenuto conto del settore in cui ciascun soggetto opera”.</w:t>
      </w:r>
    </w:p>
    <w:p w:rsidR="0074500C" w:rsidRPr="00DA23C5" w:rsidRDefault="0074500C" w:rsidP="0074500C">
      <w:pPr>
        <w:pStyle w:val="BodyText21"/>
        <w:tabs>
          <w:tab w:val="left" w:pos="0"/>
        </w:tabs>
        <w:ind w:firstLine="0"/>
        <w:rPr>
          <w:rFonts w:ascii="Verdana" w:hAnsi="Verdana"/>
          <w:b/>
          <w:i w:val="0"/>
          <w:sz w:val="18"/>
          <w:szCs w:val="18"/>
          <w:u w:val="none"/>
        </w:rPr>
      </w:pPr>
      <w:r w:rsidRPr="00DA23C5">
        <w:rPr>
          <w:rFonts w:ascii="Verdana" w:hAnsi="Verdana"/>
          <w:b/>
          <w:i w:val="0"/>
          <w:sz w:val="18"/>
          <w:szCs w:val="18"/>
          <w:u w:val="none"/>
        </w:rPr>
        <w:t>5.a) la gestione del personale</w:t>
      </w:r>
    </w:p>
    <w:p w:rsidR="0074500C" w:rsidRPr="00DA23C5" w:rsidRDefault="0074500C" w:rsidP="0074500C">
      <w:pPr>
        <w:pStyle w:val="BodyText21"/>
        <w:tabs>
          <w:tab w:val="left" w:pos="0"/>
        </w:tabs>
        <w:ind w:firstLine="0"/>
        <w:rPr>
          <w:rFonts w:ascii="Verdana" w:hAnsi="Verdana"/>
          <w:i w:val="0"/>
          <w:sz w:val="18"/>
          <w:szCs w:val="18"/>
        </w:rPr>
      </w:pPr>
      <w:r w:rsidRPr="00DA23C5">
        <w:rPr>
          <w:rFonts w:ascii="Verdana" w:hAnsi="Verdana"/>
          <w:sz w:val="18"/>
          <w:szCs w:val="18"/>
        </w:rPr>
        <w:t xml:space="preserve">Sul sito istituzionale sono pubblicati i provvedimenti che la società ha adottato per stabilire i “criteri e le modalità per il reclutamento del personale nel rispetto dei principi, anche di derivazione europea, di trasparenza, pubblicità e imparzialità e dei principi di cui all’art. 35, comma 3 del </w:t>
      </w:r>
      <w:proofErr w:type="spellStart"/>
      <w:r w:rsidRPr="00DA23C5">
        <w:rPr>
          <w:rFonts w:ascii="Verdana" w:hAnsi="Verdana"/>
          <w:sz w:val="18"/>
          <w:szCs w:val="18"/>
        </w:rPr>
        <w:t>D.Lgs.</w:t>
      </w:r>
      <w:proofErr w:type="spellEnd"/>
      <w:r w:rsidRPr="00DA23C5">
        <w:rPr>
          <w:rFonts w:ascii="Verdana" w:hAnsi="Verdana"/>
          <w:sz w:val="18"/>
          <w:szCs w:val="18"/>
        </w:rPr>
        <w:t xml:space="preserve"> 165/2001”.</w:t>
      </w:r>
    </w:p>
    <w:p w:rsidR="0074500C" w:rsidRPr="00DA23C5" w:rsidRDefault="0074500C" w:rsidP="0074500C">
      <w:pPr>
        <w:tabs>
          <w:tab w:val="left" w:pos="709"/>
          <w:tab w:val="left" w:pos="2410"/>
          <w:tab w:val="decimal" w:pos="3970"/>
        </w:tabs>
        <w:jc w:val="both"/>
        <w:rPr>
          <w:rFonts w:ascii="Verdana" w:hAnsi="Verdana"/>
          <w:b/>
          <w:i/>
          <w:sz w:val="18"/>
          <w:szCs w:val="18"/>
        </w:rPr>
      </w:pPr>
      <w:r w:rsidRPr="00DA23C5">
        <w:rPr>
          <w:rFonts w:ascii="Verdana" w:hAnsi="Verdana" w:cs="Arial"/>
          <w:sz w:val="18"/>
          <w:szCs w:val="18"/>
        </w:rPr>
        <w:t xml:space="preserve">Lo schema del nuovo </w:t>
      </w:r>
      <w:proofErr w:type="spellStart"/>
      <w:r w:rsidRPr="00DA23C5">
        <w:rPr>
          <w:rFonts w:ascii="Verdana" w:hAnsi="Verdana" w:cs="Arial"/>
          <w:sz w:val="18"/>
          <w:szCs w:val="18"/>
        </w:rPr>
        <w:t>d.m.</w:t>
      </w:r>
      <w:proofErr w:type="spellEnd"/>
      <w:r w:rsidRPr="00DA23C5">
        <w:rPr>
          <w:rFonts w:ascii="Verdana" w:hAnsi="Verdana" w:cs="Arial"/>
          <w:sz w:val="18"/>
          <w:szCs w:val="18"/>
        </w:rPr>
        <w:t xml:space="preserve"> MEF recante il Regolamento relativo ai compensi delle società non quotate a controllo pubblico, ai sensi dell’art.11, c.6 del d.lgs. 175/2016, ancora in fase di approvazione e sul quale dovrà essere raggiunta l’intesa con la Conferenza Unificata, individua il limite dei compensi massimi da corrispondere anche a dirigenti e dipendenti: per la fascia di riferimento di Romagna Acque, tale limite sarebbe pari a 216.000 euro; si dà atto che per tutti i dirigenti, compreso il direttore generale, il trattamento riconosciuto è inferiore a tale limite. </w:t>
      </w:r>
    </w:p>
    <w:p w:rsidR="0074500C" w:rsidRPr="00DA23C5" w:rsidRDefault="0074500C" w:rsidP="0074500C">
      <w:pPr>
        <w:autoSpaceDE w:val="0"/>
        <w:autoSpaceDN w:val="0"/>
        <w:adjustRightInd w:val="0"/>
        <w:ind w:right="-172"/>
        <w:jc w:val="both"/>
        <w:rPr>
          <w:rFonts w:ascii="Verdana" w:hAnsi="Verdana"/>
          <w:sz w:val="18"/>
          <w:szCs w:val="18"/>
        </w:rPr>
      </w:pPr>
      <w:r w:rsidRPr="00DA23C5">
        <w:rPr>
          <w:rFonts w:ascii="Verdana" w:hAnsi="Verdana"/>
          <w:sz w:val="18"/>
          <w:szCs w:val="18"/>
        </w:rPr>
        <w:t xml:space="preserve">L'art. 1 comma 10-novies della L. 8/2020 ha sostituito l'articolo 25 del D.lgs. 175/2016 che conteneva una procedura transitoria per il reclutamento del personale da parte delle società a controllo pubblico destinata ad operare fino al 30 giugno 2018; il nuovo articolo 25 ha reintrodotto in capo alle società a controllo pubblico l’obbligo di ricognizione del personale in servizio per gli anni 2020-2021-2022, la ricognizione va effettuata entro il 30 settembre di ciascun anno; qualora vengano individuate delle eccedenze di personale la società ha l'obbligo di predisporne un elenco da trasmettere alla Regione di riferimento. Anche per l’annualità 2022, come per le precedenti 2020 e 2021, il </w:t>
      </w:r>
      <w:proofErr w:type="spellStart"/>
      <w:r w:rsidRPr="00DA23C5">
        <w:rPr>
          <w:rFonts w:ascii="Verdana" w:hAnsi="Verdana"/>
          <w:sz w:val="18"/>
          <w:szCs w:val="18"/>
        </w:rPr>
        <w:t>CdA</w:t>
      </w:r>
      <w:proofErr w:type="spellEnd"/>
      <w:r w:rsidRPr="00DA23C5">
        <w:rPr>
          <w:rFonts w:ascii="Verdana" w:hAnsi="Verdana"/>
          <w:sz w:val="18"/>
          <w:szCs w:val="18"/>
        </w:rPr>
        <w:t xml:space="preserve"> nel settembre scorso ha effettuato l’attività ricognitiva da cui è emerso che non risulta alcuna eccedenza e specifica informativa in merito è stata fornita ai soci.</w:t>
      </w:r>
    </w:p>
    <w:p w:rsidR="0074500C" w:rsidRPr="00DA23C5" w:rsidRDefault="0074500C" w:rsidP="0074500C">
      <w:pPr>
        <w:autoSpaceDE w:val="0"/>
        <w:autoSpaceDN w:val="0"/>
        <w:adjustRightInd w:val="0"/>
        <w:ind w:right="-172"/>
        <w:jc w:val="both"/>
        <w:rPr>
          <w:rFonts w:ascii="Verdana" w:hAnsi="Verdana"/>
          <w:sz w:val="18"/>
          <w:szCs w:val="18"/>
        </w:rPr>
      </w:pPr>
      <w:r w:rsidRPr="00DA23C5">
        <w:rPr>
          <w:rFonts w:ascii="Verdana" w:hAnsi="Verdana"/>
          <w:sz w:val="18"/>
          <w:szCs w:val="18"/>
        </w:rPr>
        <w:t xml:space="preserve">La principale differenza rispetto all'originario impianto dell'articolo 25 è data dalla non riproposizione del </w:t>
      </w:r>
      <w:proofErr w:type="spellStart"/>
      <w:proofErr w:type="gramStart"/>
      <w:r w:rsidRPr="00DA23C5">
        <w:rPr>
          <w:rFonts w:ascii="Verdana" w:hAnsi="Verdana"/>
          <w:sz w:val="18"/>
          <w:szCs w:val="18"/>
        </w:rPr>
        <w:t>cd”blocco</w:t>
      </w:r>
      <w:proofErr w:type="spellEnd"/>
      <w:proofErr w:type="gramEnd"/>
      <w:r w:rsidRPr="00DA23C5">
        <w:rPr>
          <w:rFonts w:ascii="Verdana" w:hAnsi="Verdana"/>
          <w:sz w:val="18"/>
          <w:szCs w:val="18"/>
        </w:rPr>
        <w:t xml:space="preserve"> delle assunzioni”, ossia la prescrizione che imponeva -fino al 30 giugno 2018- alle società a controllo pubblico di procedere a nuove assunzioni a tempo indeterminato solo attingendo dagli elenchi citati.</w:t>
      </w:r>
    </w:p>
    <w:p w:rsidR="0074500C" w:rsidRPr="00DA23C5" w:rsidRDefault="0074500C" w:rsidP="0074500C">
      <w:pPr>
        <w:tabs>
          <w:tab w:val="left" w:pos="709"/>
          <w:tab w:val="left" w:pos="2410"/>
          <w:tab w:val="decimal" w:pos="3970"/>
        </w:tabs>
        <w:jc w:val="both"/>
        <w:rPr>
          <w:rFonts w:ascii="Verdana" w:hAnsi="Verdana"/>
          <w:sz w:val="18"/>
          <w:szCs w:val="18"/>
        </w:rPr>
      </w:pPr>
      <w:r w:rsidRPr="00DA23C5">
        <w:rPr>
          <w:rFonts w:ascii="Verdana" w:hAnsi="Verdana"/>
          <w:sz w:val="18"/>
          <w:szCs w:val="18"/>
        </w:rPr>
        <w:t xml:space="preserve">La Società ha attuato e rispettato gli indirizzi impartiti dai soci in merito alla gestione e al contenimento dei costi del personale nei termini esposti nel bilancio di previsione 2022 e successivamente monitorati e rendicontati in sede di verifiche </w:t>
      </w:r>
      <w:proofErr w:type="spellStart"/>
      <w:r w:rsidRPr="00DA23C5">
        <w:rPr>
          <w:rFonts w:ascii="Verdana" w:hAnsi="Verdana"/>
          <w:sz w:val="18"/>
          <w:szCs w:val="18"/>
        </w:rPr>
        <w:t>infrannuali</w:t>
      </w:r>
      <w:proofErr w:type="spellEnd"/>
      <w:r w:rsidRPr="00DA23C5">
        <w:rPr>
          <w:rFonts w:ascii="Verdana" w:hAnsi="Verdana"/>
          <w:sz w:val="18"/>
          <w:szCs w:val="18"/>
        </w:rPr>
        <w:t>.</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2268"/>
        <w:gridCol w:w="1560"/>
        <w:gridCol w:w="1984"/>
      </w:tblGrid>
      <w:tr w:rsidR="0074500C" w:rsidRPr="00DA23C5" w:rsidTr="00446271">
        <w:trPr>
          <w:cantSplit/>
        </w:trPr>
        <w:tc>
          <w:tcPr>
            <w:tcW w:w="3969" w:type="dxa"/>
            <w:tcBorders>
              <w:top w:val="nil"/>
              <w:left w:val="nil"/>
            </w:tcBorders>
          </w:tcPr>
          <w:p w:rsidR="0074500C" w:rsidRPr="00DA23C5" w:rsidRDefault="0074500C" w:rsidP="00446271">
            <w:pPr>
              <w:numPr>
                <w:ilvl w:val="12"/>
                <w:numId w:val="0"/>
              </w:numPr>
              <w:jc w:val="center"/>
              <w:rPr>
                <w:rFonts w:ascii="Verdana" w:hAnsi="Verdana"/>
                <w:sz w:val="18"/>
                <w:szCs w:val="18"/>
              </w:rPr>
            </w:pPr>
          </w:p>
        </w:tc>
        <w:tc>
          <w:tcPr>
            <w:tcW w:w="2268" w:type="dxa"/>
            <w:vAlign w:val="bottom"/>
          </w:tcPr>
          <w:p w:rsidR="0074500C" w:rsidRPr="00DA23C5" w:rsidRDefault="0074500C" w:rsidP="00446271">
            <w:pPr>
              <w:jc w:val="right"/>
              <w:rPr>
                <w:rFonts w:ascii="Verdana" w:hAnsi="Verdana"/>
                <w:b/>
                <w:bCs/>
                <w:sz w:val="18"/>
                <w:szCs w:val="18"/>
                <w:lang w:eastAsia="it-IT"/>
              </w:rPr>
            </w:pPr>
            <w:proofErr w:type="spellStart"/>
            <w:proofErr w:type="gramStart"/>
            <w:r w:rsidRPr="00DA23C5">
              <w:rPr>
                <w:rFonts w:ascii="Verdana" w:hAnsi="Verdana"/>
                <w:b/>
                <w:bCs/>
                <w:sz w:val="18"/>
                <w:szCs w:val="18"/>
              </w:rPr>
              <w:t>bdg</w:t>
            </w:r>
            <w:proofErr w:type="spellEnd"/>
            <w:proofErr w:type="gramEnd"/>
            <w:r w:rsidRPr="00DA23C5">
              <w:rPr>
                <w:rFonts w:ascii="Verdana" w:hAnsi="Verdana"/>
                <w:b/>
                <w:bCs/>
                <w:sz w:val="18"/>
                <w:szCs w:val="18"/>
              </w:rPr>
              <w:t xml:space="preserve"> 2022</w:t>
            </w:r>
          </w:p>
        </w:tc>
        <w:tc>
          <w:tcPr>
            <w:tcW w:w="1560" w:type="dxa"/>
            <w:vAlign w:val="bottom"/>
          </w:tcPr>
          <w:p w:rsidR="0074500C" w:rsidRPr="00DA23C5" w:rsidRDefault="0074500C" w:rsidP="00446271">
            <w:pPr>
              <w:jc w:val="right"/>
              <w:rPr>
                <w:rFonts w:ascii="Verdana" w:hAnsi="Verdana"/>
                <w:b/>
                <w:bCs/>
                <w:sz w:val="18"/>
                <w:szCs w:val="18"/>
              </w:rPr>
            </w:pPr>
            <w:proofErr w:type="spellStart"/>
            <w:proofErr w:type="gramStart"/>
            <w:r w:rsidRPr="00DA23C5">
              <w:rPr>
                <w:rFonts w:ascii="Verdana" w:hAnsi="Verdana"/>
                <w:b/>
                <w:bCs/>
                <w:sz w:val="18"/>
                <w:szCs w:val="18"/>
              </w:rPr>
              <w:t>precons</w:t>
            </w:r>
            <w:proofErr w:type="spellEnd"/>
            <w:proofErr w:type="gramEnd"/>
            <w:r w:rsidRPr="00DA23C5">
              <w:rPr>
                <w:rFonts w:ascii="Verdana" w:hAnsi="Verdana"/>
                <w:b/>
                <w:bCs/>
                <w:sz w:val="18"/>
                <w:szCs w:val="18"/>
              </w:rPr>
              <w:t xml:space="preserve"> 2022</w:t>
            </w:r>
          </w:p>
        </w:tc>
        <w:tc>
          <w:tcPr>
            <w:tcW w:w="1984" w:type="dxa"/>
            <w:vAlign w:val="bottom"/>
          </w:tcPr>
          <w:p w:rsidR="0074500C" w:rsidRPr="00DA23C5" w:rsidRDefault="0074500C" w:rsidP="00446271">
            <w:pPr>
              <w:jc w:val="right"/>
              <w:rPr>
                <w:rFonts w:ascii="Verdana" w:hAnsi="Verdana"/>
                <w:b/>
                <w:bCs/>
                <w:sz w:val="18"/>
                <w:szCs w:val="18"/>
              </w:rPr>
            </w:pPr>
            <w:proofErr w:type="spellStart"/>
            <w:proofErr w:type="gramStart"/>
            <w:r w:rsidRPr="00DA23C5">
              <w:rPr>
                <w:rFonts w:ascii="Verdana" w:hAnsi="Verdana"/>
                <w:b/>
                <w:bCs/>
                <w:sz w:val="18"/>
                <w:szCs w:val="18"/>
              </w:rPr>
              <w:t>consunt</w:t>
            </w:r>
            <w:proofErr w:type="spellEnd"/>
            <w:proofErr w:type="gramEnd"/>
            <w:r w:rsidRPr="00DA23C5">
              <w:rPr>
                <w:rFonts w:ascii="Verdana" w:hAnsi="Verdana"/>
                <w:b/>
                <w:bCs/>
                <w:sz w:val="18"/>
                <w:szCs w:val="18"/>
              </w:rPr>
              <w:t xml:space="preserve"> 2021</w:t>
            </w:r>
          </w:p>
        </w:tc>
      </w:tr>
      <w:tr w:rsidR="0074500C" w:rsidRPr="00DA23C5" w:rsidTr="00446271">
        <w:trPr>
          <w:cantSplit/>
        </w:trPr>
        <w:tc>
          <w:tcPr>
            <w:tcW w:w="3969" w:type="dxa"/>
          </w:tcPr>
          <w:p w:rsidR="0074500C" w:rsidRPr="00DA23C5" w:rsidRDefault="0074500C" w:rsidP="00446271">
            <w:pPr>
              <w:rPr>
                <w:rFonts w:ascii="Verdana" w:hAnsi="Verdana"/>
                <w:snapToGrid w:val="0"/>
                <w:sz w:val="18"/>
                <w:szCs w:val="18"/>
              </w:rPr>
            </w:pPr>
            <w:r w:rsidRPr="00DA23C5">
              <w:rPr>
                <w:rFonts w:ascii="Verdana" w:hAnsi="Verdana"/>
                <w:snapToGrid w:val="0"/>
                <w:sz w:val="18"/>
                <w:szCs w:val="18"/>
              </w:rPr>
              <w:t xml:space="preserve">TOT.COSTI DEL PERSONALE </w:t>
            </w:r>
          </w:p>
        </w:tc>
        <w:tc>
          <w:tcPr>
            <w:tcW w:w="2268" w:type="dxa"/>
            <w:vAlign w:val="bottom"/>
          </w:tcPr>
          <w:p w:rsidR="0074500C" w:rsidRPr="00DA23C5" w:rsidRDefault="0074500C" w:rsidP="00446271">
            <w:pPr>
              <w:rPr>
                <w:rFonts w:ascii="Verdana" w:hAnsi="Verdana"/>
                <w:b/>
                <w:bCs/>
                <w:color w:val="000000"/>
                <w:sz w:val="18"/>
                <w:szCs w:val="18"/>
                <w:lang w:eastAsia="it-IT"/>
              </w:rPr>
            </w:pPr>
            <w:r w:rsidRPr="00DA23C5">
              <w:rPr>
                <w:rFonts w:ascii="Verdana" w:hAnsi="Verdana"/>
                <w:b/>
                <w:bCs/>
                <w:color w:val="000000"/>
                <w:sz w:val="18"/>
                <w:szCs w:val="18"/>
              </w:rPr>
              <w:t xml:space="preserve">                  9.044.300 </w:t>
            </w:r>
          </w:p>
        </w:tc>
        <w:tc>
          <w:tcPr>
            <w:tcW w:w="1560" w:type="dxa"/>
            <w:vAlign w:val="bottom"/>
          </w:tcPr>
          <w:p w:rsidR="0074500C" w:rsidRPr="00DA23C5" w:rsidRDefault="0074500C" w:rsidP="00DA1B98">
            <w:pPr>
              <w:rPr>
                <w:rFonts w:ascii="Verdana" w:hAnsi="Verdana"/>
                <w:b/>
                <w:bCs/>
                <w:color w:val="000000"/>
                <w:sz w:val="18"/>
                <w:szCs w:val="18"/>
              </w:rPr>
            </w:pPr>
            <w:r w:rsidRPr="00DA23C5">
              <w:rPr>
                <w:rFonts w:ascii="Verdana" w:hAnsi="Verdana"/>
                <w:b/>
                <w:bCs/>
                <w:color w:val="000000"/>
                <w:sz w:val="18"/>
                <w:szCs w:val="18"/>
              </w:rPr>
              <w:t xml:space="preserve">         9.</w:t>
            </w:r>
            <w:r w:rsidR="00DA1B98" w:rsidRPr="00DA23C5">
              <w:rPr>
                <w:rFonts w:ascii="Verdana" w:hAnsi="Verdana"/>
                <w:b/>
                <w:bCs/>
                <w:color w:val="000000"/>
                <w:sz w:val="18"/>
                <w:szCs w:val="18"/>
              </w:rPr>
              <w:t>073.396</w:t>
            </w:r>
            <w:r w:rsidRPr="00DA23C5">
              <w:rPr>
                <w:rFonts w:ascii="Verdana" w:hAnsi="Verdana"/>
                <w:b/>
                <w:bCs/>
                <w:color w:val="000000"/>
                <w:sz w:val="18"/>
                <w:szCs w:val="18"/>
              </w:rPr>
              <w:t xml:space="preserve"> </w:t>
            </w:r>
          </w:p>
        </w:tc>
        <w:tc>
          <w:tcPr>
            <w:tcW w:w="1984" w:type="dxa"/>
            <w:tcBorders>
              <w:right w:val="single" w:sz="4" w:space="0" w:color="auto"/>
            </w:tcBorders>
            <w:vAlign w:val="bottom"/>
          </w:tcPr>
          <w:p w:rsidR="0074500C" w:rsidRPr="00DA23C5" w:rsidRDefault="0074500C" w:rsidP="00446271">
            <w:pPr>
              <w:rPr>
                <w:rFonts w:ascii="Verdana" w:hAnsi="Verdana"/>
                <w:b/>
                <w:bCs/>
                <w:color w:val="000000"/>
                <w:sz w:val="18"/>
                <w:szCs w:val="18"/>
              </w:rPr>
            </w:pPr>
            <w:r w:rsidRPr="00DA23C5">
              <w:rPr>
                <w:rFonts w:ascii="Verdana" w:hAnsi="Verdana"/>
                <w:b/>
                <w:bCs/>
                <w:color w:val="000000"/>
                <w:sz w:val="18"/>
                <w:szCs w:val="18"/>
              </w:rPr>
              <w:t xml:space="preserve">         8.881.872 </w:t>
            </w:r>
          </w:p>
        </w:tc>
      </w:tr>
    </w:tbl>
    <w:p w:rsidR="0074500C" w:rsidRPr="00DA23C5" w:rsidRDefault="0074500C" w:rsidP="0074500C">
      <w:pPr>
        <w:tabs>
          <w:tab w:val="left" w:pos="0"/>
        </w:tabs>
        <w:jc w:val="both"/>
        <w:rPr>
          <w:rFonts w:ascii="Verdana" w:hAnsi="Verdana"/>
          <w:snapToGrid w:val="0"/>
          <w:sz w:val="18"/>
          <w:szCs w:val="18"/>
          <w:highlight w:val="yellow"/>
        </w:rPr>
      </w:pPr>
      <w:r w:rsidRPr="00DA23C5">
        <w:rPr>
          <w:rFonts w:ascii="Verdana" w:hAnsi="Verdana"/>
          <w:sz w:val="18"/>
          <w:szCs w:val="18"/>
        </w:rPr>
        <w:t xml:space="preserve">Il costo del personale di preconsuntivo 2022 conferma sostanzialmente il budget, l’incremento di 100.000 euro è da ricondurre principalmente a maggiori retribuzioni variabili (assegnazione di </w:t>
      </w:r>
      <w:proofErr w:type="spellStart"/>
      <w:r w:rsidRPr="00DA23C5">
        <w:rPr>
          <w:rFonts w:ascii="Verdana" w:hAnsi="Verdana"/>
          <w:sz w:val="18"/>
          <w:szCs w:val="18"/>
        </w:rPr>
        <w:t>premialità</w:t>
      </w:r>
      <w:proofErr w:type="spellEnd"/>
      <w:r w:rsidRPr="00DA23C5">
        <w:rPr>
          <w:rFonts w:ascii="Verdana" w:hAnsi="Verdana"/>
          <w:sz w:val="18"/>
          <w:szCs w:val="18"/>
        </w:rPr>
        <w:t xml:space="preserve"> al personale a seguito dell’erogazione dei premi ricevuti da ARERA nel 2022 per i risultati di qualità tecnica conseguiti dalla società nelle annualità 2018 e 2019); rispetto al consuntivo 2021 l’incremento di 0,</w:t>
      </w:r>
      <w:r w:rsidR="00DA1B98" w:rsidRPr="00DA23C5">
        <w:rPr>
          <w:rFonts w:ascii="Verdana" w:hAnsi="Verdana"/>
          <w:sz w:val="18"/>
          <w:szCs w:val="18"/>
        </w:rPr>
        <w:t>2</w:t>
      </w:r>
      <w:r w:rsidRPr="00DA23C5">
        <w:rPr>
          <w:rFonts w:ascii="Verdana" w:hAnsi="Verdana"/>
          <w:sz w:val="18"/>
          <w:szCs w:val="18"/>
        </w:rPr>
        <w:t xml:space="preserve"> mln/euro è da </w:t>
      </w:r>
      <w:r w:rsidRPr="00DA23C5">
        <w:rPr>
          <w:rFonts w:ascii="Verdana" w:hAnsi="Verdana"/>
          <w:sz w:val="18"/>
          <w:szCs w:val="18"/>
        </w:rPr>
        <w:lastRenderedPageBreak/>
        <w:t xml:space="preserve">ricondurre </w:t>
      </w:r>
      <w:r w:rsidR="00DA1B98" w:rsidRPr="00DA23C5">
        <w:rPr>
          <w:rFonts w:ascii="Verdana" w:hAnsi="Verdana"/>
          <w:sz w:val="18"/>
          <w:szCs w:val="18"/>
        </w:rPr>
        <w:t xml:space="preserve">a maggiori retribuzioni variabili (assegnazione di </w:t>
      </w:r>
      <w:proofErr w:type="spellStart"/>
      <w:r w:rsidR="00DA1B98" w:rsidRPr="00DA23C5">
        <w:rPr>
          <w:rFonts w:ascii="Verdana" w:hAnsi="Verdana"/>
          <w:sz w:val="18"/>
          <w:szCs w:val="18"/>
        </w:rPr>
        <w:t>premialità</w:t>
      </w:r>
      <w:proofErr w:type="spellEnd"/>
      <w:r w:rsidR="00DA1B98" w:rsidRPr="00DA23C5">
        <w:rPr>
          <w:rFonts w:ascii="Verdana" w:hAnsi="Verdana"/>
          <w:sz w:val="18"/>
          <w:szCs w:val="18"/>
        </w:rPr>
        <w:t xml:space="preserve"> al personale a seguito dell’erogazione dei premi ricevuti da ARERA nel 2022 per i risultati di qualità tecnica conseguiti dalla società nelle annualità 2018 e 2019) e</w:t>
      </w:r>
      <w:r w:rsidRPr="00DA23C5">
        <w:rPr>
          <w:rFonts w:ascii="Verdana" w:hAnsi="Verdana"/>
          <w:sz w:val="18"/>
          <w:szCs w:val="18"/>
        </w:rPr>
        <w:t xml:space="preserve"> al maggior organico medio in forza.</w:t>
      </w:r>
    </w:p>
    <w:tbl>
      <w:tblPr>
        <w:tblW w:w="9561" w:type="dxa"/>
        <w:tblInd w:w="93" w:type="dxa"/>
        <w:tblCellMar>
          <w:left w:w="70" w:type="dxa"/>
          <w:right w:w="70" w:type="dxa"/>
        </w:tblCellMar>
        <w:tblLook w:val="04A0" w:firstRow="1" w:lastRow="0" w:firstColumn="1" w:lastColumn="0" w:noHBand="0" w:noVBand="1"/>
      </w:tblPr>
      <w:tblGrid>
        <w:gridCol w:w="3261"/>
        <w:gridCol w:w="1260"/>
        <w:gridCol w:w="1260"/>
        <w:gridCol w:w="1635"/>
        <w:gridCol w:w="885"/>
        <w:gridCol w:w="1260"/>
      </w:tblGrid>
      <w:tr w:rsidR="0074500C" w:rsidRPr="00DA23C5" w:rsidTr="00446271">
        <w:trPr>
          <w:trHeight w:val="315"/>
        </w:trPr>
        <w:tc>
          <w:tcPr>
            <w:tcW w:w="3261" w:type="dxa"/>
            <w:tcBorders>
              <w:top w:val="nil"/>
              <w:left w:val="nil"/>
              <w:bottom w:val="nil"/>
              <w:right w:val="nil"/>
            </w:tcBorders>
            <w:shd w:val="clear" w:color="auto" w:fill="auto"/>
            <w:vAlign w:val="center"/>
            <w:hideMark/>
          </w:tcPr>
          <w:p w:rsidR="0074500C" w:rsidRPr="00DA23C5" w:rsidRDefault="0074500C" w:rsidP="00446271">
            <w:pPr>
              <w:rPr>
                <w:rFonts w:ascii="Verdana" w:hAnsi="Verdana"/>
                <w:sz w:val="18"/>
                <w:szCs w:val="18"/>
              </w:rPr>
            </w:pP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500C" w:rsidRPr="00DA23C5" w:rsidRDefault="0074500C" w:rsidP="00446271">
            <w:pPr>
              <w:jc w:val="center"/>
              <w:rPr>
                <w:rFonts w:ascii="Verdana" w:hAnsi="Verdana" w:cs="Arial"/>
                <w:b/>
                <w:bCs/>
                <w:sz w:val="18"/>
                <w:szCs w:val="18"/>
              </w:rPr>
            </w:pPr>
            <w:r w:rsidRPr="00DA23C5">
              <w:rPr>
                <w:rFonts w:ascii="Verdana" w:hAnsi="Verdana" w:cs="Arial"/>
                <w:b/>
                <w:bCs/>
                <w:sz w:val="18"/>
                <w:szCs w:val="18"/>
              </w:rPr>
              <w:t>Dirigenti</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74500C" w:rsidRPr="00DA23C5" w:rsidRDefault="0074500C" w:rsidP="00446271">
            <w:pPr>
              <w:jc w:val="center"/>
              <w:rPr>
                <w:rFonts w:ascii="Verdana" w:hAnsi="Verdana" w:cs="Arial"/>
                <w:b/>
                <w:bCs/>
                <w:sz w:val="18"/>
                <w:szCs w:val="18"/>
              </w:rPr>
            </w:pPr>
            <w:r w:rsidRPr="00DA23C5">
              <w:rPr>
                <w:rFonts w:ascii="Verdana" w:hAnsi="Verdana" w:cs="Arial"/>
                <w:b/>
                <w:bCs/>
                <w:sz w:val="18"/>
                <w:szCs w:val="18"/>
              </w:rPr>
              <w:t>Quadri</w:t>
            </w:r>
          </w:p>
        </w:tc>
        <w:tc>
          <w:tcPr>
            <w:tcW w:w="1635" w:type="dxa"/>
            <w:tcBorders>
              <w:top w:val="single" w:sz="4" w:space="0" w:color="auto"/>
              <w:left w:val="nil"/>
              <w:bottom w:val="single" w:sz="4" w:space="0" w:color="auto"/>
              <w:right w:val="single" w:sz="8" w:space="0" w:color="auto"/>
            </w:tcBorders>
            <w:shd w:val="clear" w:color="auto" w:fill="auto"/>
            <w:vAlign w:val="center"/>
            <w:hideMark/>
          </w:tcPr>
          <w:p w:rsidR="0074500C" w:rsidRPr="00DA23C5" w:rsidRDefault="0074500C" w:rsidP="00446271">
            <w:pPr>
              <w:jc w:val="center"/>
              <w:rPr>
                <w:rFonts w:ascii="Verdana" w:hAnsi="Verdana" w:cs="Arial"/>
                <w:b/>
                <w:bCs/>
                <w:sz w:val="18"/>
                <w:szCs w:val="18"/>
              </w:rPr>
            </w:pPr>
            <w:r w:rsidRPr="00DA23C5">
              <w:rPr>
                <w:rFonts w:ascii="Verdana" w:hAnsi="Verdana" w:cs="Arial"/>
                <w:b/>
                <w:bCs/>
                <w:sz w:val="18"/>
                <w:szCs w:val="18"/>
              </w:rPr>
              <w:t>Impiegati</w:t>
            </w:r>
          </w:p>
        </w:tc>
        <w:tc>
          <w:tcPr>
            <w:tcW w:w="885" w:type="dxa"/>
            <w:tcBorders>
              <w:top w:val="single" w:sz="4" w:space="0" w:color="auto"/>
              <w:left w:val="nil"/>
              <w:bottom w:val="single" w:sz="4" w:space="0" w:color="auto"/>
              <w:right w:val="single" w:sz="8" w:space="0" w:color="auto"/>
            </w:tcBorders>
            <w:shd w:val="clear" w:color="auto" w:fill="auto"/>
            <w:vAlign w:val="center"/>
            <w:hideMark/>
          </w:tcPr>
          <w:p w:rsidR="0074500C" w:rsidRPr="00DA23C5" w:rsidRDefault="0074500C" w:rsidP="00446271">
            <w:pPr>
              <w:jc w:val="center"/>
              <w:rPr>
                <w:rFonts w:ascii="Verdana" w:hAnsi="Verdana" w:cs="Arial"/>
                <w:b/>
                <w:bCs/>
                <w:sz w:val="18"/>
                <w:szCs w:val="18"/>
              </w:rPr>
            </w:pPr>
            <w:r w:rsidRPr="00DA23C5">
              <w:rPr>
                <w:rFonts w:ascii="Verdana" w:hAnsi="Verdana" w:cs="Arial"/>
                <w:b/>
                <w:bCs/>
                <w:sz w:val="18"/>
                <w:szCs w:val="18"/>
              </w:rPr>
              <w:t>Operai</w:t>
            </w:r>
          </w:p>
        </w:tc>
        <w:tc>
          <w:tcPr>
            <w:tcW w:w="1260" w:type="dxa"/>
            <w:tcBorders>
              <w:top w:val="single" w:sz="4" w:space="0" w:color="auto"/>
              <w:left w:val="nil"/>
              <w:bottom w:val="single" w:sz="8" w:space="0" w:color="auto"/>
              <w:right w:val="single" w:sz="4" w:space="0" w:color="auto"/>
            </w:tcBorders>
            <w:shd w:val="clear" w:color="auto" w:fill="auto"/>
            <w:vAlign w:val="center"/>
            <w:hideMark/>
          </w:tcPr>
          <w:p w:rsidR="0074500C" w:rsidRPr="00DA23C5" w:rsidRDefault="0074500C" w:rsidP="00446271">
            <w:pPr>
              <w:jc w:val="center"/>
              <w:rPr>
                <w:rFonts w:ascii="Verdana" w:hAnsi="Verdana" w:cs="Arial"/>
                <w:b/>
                <w:bCs/>
                <w:sz w:val="18"/>
                <w:szCs w:val="18"/>
              </w:rPr>
            </w:pPr>
            <w:proofErr w:type="gramStart"/>
            <w:r w:rsidRPr="00DA23C5">
              <w:rPr>
                <w:rFonts w:ascii="Verdana" w:hAnsi="Verdana" w:cs="Arial"/>
                <w:b/>
                <w:bCs/>
                <w:sz w:val="18"/>
                <w:szCs w:val="18"/>
              </w:rPr>
              <w:t>totale</w:t>
            </w:r>
            <w:proofErr w:type="gramEnd"/>
          </w:p>
        </w:tc>
      </w:tr>
      <w:tr w:rsidR="0074500C" w:rsidRPr="00DA23C5" w:rsidTr="00446271">
        <w:trPr>
          <w:trHeight w:val="315"/>
        </w:trPr>
        <w:tc>
          <w:tcPr>
            <w:tcW w:w="3261"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74500C" w:rsidRPr="00DA23C5" w:rsidRDefault="0074500C" w:rsidP="00446271">
            <w:pPr>
              <w:rPr>
                <w:rFonts w:ascii="Verdana" w:hAnsi="Verdana" w:cs="Arial"/>
                <w:sz w:val="18"/>
                <w:szCs w:val="18"/>
              </w:rPr>
            </w:pPr>
            <w:r w:rsidRPr="00DA23C5">
              <w:rPr>
                <w:rFonts w:ascii="Verdana" w:hAnsi="Verdana" w:cs="Arial"/>
                <w:sz w:val="18"/>
                <w:szCs w:val="18"/>
              </w:rPr>
              <w:t xml:space="preserve">Al 31.12.2021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4(*)</w:t>
            </w:r>
          </w:p>
        </w:tc>
        <w:tc>
          <w:tcPr>
            <w:tcW w:w="12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7</w:t>
            </w:r>
          </w:p>
        </w:tc>
        <w:tc>
          <w:tcPr>
            <w:tcW w:w="1635" w:type="dxa"/>
            <w:tcBorders>
              <w:top w:val="single" w:sz="8" w:space="0" w:color="auto"/>
              <w:left w:val="nil"/>
              <w:bottom w:val="single" w:sz="8" w:space="0" w:color="auto"/>
              <w:right w:val="single" w:sz="8"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86 (*)(**)</w:t>
            </w:r>
          </w:p>
        </w:tc>
        <w:tc>
          <w:tcPr>
            <w:tcW w:w="885" w:type="dxa"/>
            <w:tcBorders>
              <w:top w:val="single" w:sz="8" w:space="0" w:color="auto"/>
              <w:left w:val="nil"/>
              <w:bottom w:val="single" w:sz="8" w:space="0" w:color="auto"/>
              <w:right w:val="single" w:sz="8"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59</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156</w:t>
            </w:r>
          </w:p>
        </w:tc>
      </w:tr>
      <w:tr w:rsidR="0074500C" w:rsidRPr="00DA23C5" w:rsidTr="00446271">
        <w:trPr>
          <w:trHeight w:val="31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74500C" w:rsidRPr="00DA23C5" w:rsidRDefault="0074500C" w:rsidP="00446271">
            <w:pPr>
              <w:jc w:val="both"/>
              <w:rPr>
                <w:rFonts w:ascii="Verdana" w:hAnsi="Verdana" w:cs="Arial"/>
                <w:sz w:val="18"/>
                <w:szCs w:val="18"/>
              </w:rPr>
            </w:pPr>
            <w:r w:rsidRPr="00DA23C5">
              <w:rPr>
                <w:rFonts w:ascii="Verdana" w:hAnsi="Verdana" w:cs="Arial"/>
                <w:sz w:val="18"/>
                <w:szCs w:val="18"/>
              </w:rPr>
              <w:t>Variazioni previste nel 2021:</w:t>
            </w:r>
          </w:p>
        </w:tc>
        <w:tc>
          <w:tcPr>
            <w:tcW w:w="1260" w:type="dxa"/>
            <w:tcBorders>
              <w:top w:val="single" w:sz="4" w:space="0" w:color="auto"/>
              <w:left w:val="single" w:sz="4" w:space="0" w:color="auto"/>
              <w:bottom w:val="nil"/>
              <w:right w:val="single" w:sz="8" w:space="0" w:color="auto"/>
            </w:tcBorders>
            <w:shd w:val="clear" w:color="auto" w:fill="auto"/>
            <w:vAlign w:val="center"/>
            <w:hideMark/>
          </w:tcPr>
          <w:p w:rsidR="0074500C" w:rsidRPr="00DA23C5" w:rsidRDefault="0074500C" w:rsidP="00446271">
            <w:pPr>
              <w:rPr>
                <w:rFonts w:ascii="Verdana" w:hAnsi="Verdana" w:cs="Arial"/>
                <w:sz w:val="18"/>
                <w:szCs w:val="18"/>
              </w:rPr>
            </w:pPr>
            <w:r w:rsidRPr="00DA23C5">
              <w:rPr>
                <w:rFonts w:ascii="Verdana" w:hAnsi="Verdana" w:cs="Arial"/>
                <w:sz w:val="18"/>
                <w:szCs w:val="18"/>
              </w:rPr>
              <w:t> </w:t>
            </w:r>
          </w:p>
        </w:tc>
        <w:tc>
          <w:tcPr>
            <w:tcW w:w="1260" w:type="dxa"/>
            <w:tcBorders>
              <w:top w:val="nil"/>
              <w:left w:val="nil"/>
              <w:bottom w:val="nil"/>
              <w:right w:val="single" w:sz="8"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 </w:t>
            </w:r>
          </w:p>
        </w:tc>
        <w:tc>
          <w:tcPr>
            <w:tcW w:w="1635" w:type="dxa"/>
            <w:tcBorders>
              <w:top w:val="nil"/>
              <w:left w:val="nil"/>
              <w:bottom w:val="nil"/>
              <w:right w:val="single" w:sz="8"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 </w:t>
            </w:r>
          </w:p>
        </w:tc>
        <w:tc>
          <w:tcPr>
            <w:tcW w:w="885" w:type="dxa"/>
            <w:tcBorders>
              <w:top w:val="nil"/>
              <w:left w:val="nil"/>
              <w:bottom w:val="nil"/>
              <w:right w:val="single" w:sz="8"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 </w:t>
            </w:r>
          </w:p>
        </w:tc>
        <w:tc>
          <w:tcPr>
            <w:tcW w:w="1260" w:type="dxa"/>
            <w:tcBorders>
              <w:top w:val="nil"/>
              <w:left w:val="nil"/>
              <w:bottom w:val="nil"/>
              <w:right w:val="single" w:sz="8"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 </w:t>
            </w:r>
          </w:p>
        </w:tc>
      </w:tr>
      <w:tr w:rsidR="0074500C" w:rsidRPr="00DA23C5" w:rsidTr="00446271">
        <w:trPr>
          <w:trHeight w:val="300"/>
        </w:trPr>
        <w:tc>
          <w:tcPr>
            <w:tcW w:w="3261" w:type="dxa"/>
            <w:tcBorders>
              <w:top w:val="nil"/>
              <w:left w:val="single" w:sz="4" w:space="0" w:color="auto"/>
              <w:bottom w:val="nil"/>
              <w:right w:val="single" w:sz="4" w:space="0" w:color="auto"/>
            </w:tcBorders>
            <w:shd w:val="clear" w:color="auto" w:fill="auto"/>
            <w:vAlign w:val="center"/>
            <w:hideMark/>
          </w:tcPr>
          <w:p w:rsidR="0074500C" w:rsidRPr="00DA23C5" w:rsidRDefault="0074500C" w:rsidP="00446271">
            <w:pPr>
              <w:jc w:val="both"/>
              <w:rPr>
                <w:rFonts w:ascii="Verdana" w:hAnsi="Verdana" w:cs="Arial"/>
                <w:sz w:val="18"/>
                <w:szCs w:val="18"/>
              </w:rPr>
            </w:pPr>
            <w:r w:rsidRPr="00DA23C5">
              <w:rPr>
                <w:rFonts w:ascii="Verdana" w:hAnsi="Verdana" w:cs="Arial"/>
                <w:sz w:val="18"/>
                <w:szCs w:val="18"/>
              </w:rPr>
              <w:t xml:space="preserve"> - Cessati</w:t>
            </w:r>
          </w:p>
        </w:tc>
        <w:tc>
          <w:tcPr>
            <w:tcW w:w="1260" w:type="dxa"/>
            <w:tcBorders>
              <w:top w:val="nil"/>
              <w:left w:val="single" w:sz="4" w:space="0" w:color="auto"/>
              <w:bottom w:val="nil"/>
              <w:right w:val="single" w:sz="8" w:space="0" w:color="auto"/>
            </w:tcBorders>
            <w:shd w:val="clear" w:color="auto" w:fill="auto"/>
            <w:vAlign w:val="center"/>
            <w:hideMark/>
          </w:tcPr>
          <w:p w:rsidR="0074500C" w:rsidRPr="00DA23C5" w:rsidRDefault="0074500C" w:rsidP="00446271">
            <w:pPr>
              <w:rPr>
                <w:rFonts w:ascii="Verdana" w:hAnsi="Verdana" w:cs="Arial"/>
                <w:sz w:val="18"/>
                <w:szCs w:val="18"/>
              </w:rPr>
            </w:pPr>
            <w:r w:rsidRPr="00DA23C5">
              <w:rPr>
                <w:rFonts w:ascii="Verdana" w:hAnsi="Verdana" w:cs="Arial"/>
                <w:sz w:val="18"/>
                <w:szCs w:val="18"/>
              </w:rPr>
              <w:t> </w:t>
            </w:r>
          </w:p>
        </w:tc>
        <w:tc>
          <w:tcPr>
            <w:tcW w:w="1260" w:type="dxa"/>
            <w:tcBorders>
              <w:top w:val="nil"/>
              <w:left w:val="nil"/>
              <w:bottom w:val="nil"/>
              <w:right w:val="single" w:sz="8"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 </w:t>
            </w:r>
          </w:p>
        </w:tc>
        <w:tc>
          <w:tcPr>
            <w:tcW w:w="1635" w:type="dxa"/>
            <w:tcBorders>
              <w:top w:val="nil"/>
              <w:left w:val="nil"/>
              <w:bottom w:val="nil"/>
              <w:right w:val="single" w:sz="8" w:space="0" w:color="auto"/>
            </w:tcBorders>
            <w:shd w:val="clear" w:color="auto" w:fill="auto"/>
            <w:vAlign w:val="center"/>
          </w:tcPr>
          <w:p w:rsidR="0074500C" w:rsidRPr="00DA23C5" w:rsidRDefault="0052318B" w:rsidP="00446271">
            <w:pPr>
              <w:jc w:val="center"/>
              <w:rPr>
                <w:rFonts w:ascii="Verdana" w:hAnsi="Verdana" w:cs="Arial"/>
                <w:sz w:val="18"/>
                <w:szCs w:val="18"/>
              </w:rPr>
            </w:pPr>
            <w:r w:rsidRPr="00DA23C5">
              <w:rPr>
                <w:rFonts w:ascii="Verdana" w:hAnsi="Verdana" w:cs="Arial"/>
                <w:sz w:val="18"/>
                <w:szCs w:val="18"/>
              </w:rPr>
              <w:t>-1</w:t>
            </w:r>
          </w:p>
        </w:tc>
        <w:tc>
          <w:tcPr>
            <w:tcW w:w="885" w:type="dxa"/>
            <w:tcBorders>
              <w:top w:val="nil"/>
              <w:left w:val="nil"/>
              <w:bottom w:val="nil"/>
              <w:right w:val="single" w:sz="8"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-2</w:t>
            </w:r>
          </w:p>
        </w:tc>
        <w:tc>
          <w:tcPr>
            <w:tcW w:w="1260" w:type="dxa"/>
            <w:tcBorders>
              <w:top w:val="nil"/>
              <w:left w:val="single" w:sz="4" w:space="0" w:color="auto"/>
              <w:bottom w:val="nil"/>
              <w:right w:val="single" w:sz="4" w:space="0" w:color="auto"/>
            </w:tcBorders>
            <w:shd w:val="clear" w:color="auto" w:fill="auto"/>
            <w:vAlign w:val="center"/>
            <w:hideMark/>
          </w:tcPr>
          <w:p w:rsidR="0074500C" w:rsidRPr="00DA23C5" w:rsidRDefault="0074500C">
            <w:pPr>
              <w:jc w:val="center"/>
              <w:rPr>
                <w:rFonts w:ascii="Verdana" w:hAnsi="Verdana" w:cs="Arial"/>
                <w:sz w:val="18"/>
                <w:szCs w:val="18"/>
              </w:rPr>
            </w:pPr>
            <w:r w:rsidRPr="00DA23C5">
              <w:rPr>
                <w:rFonts w:ascii="Verdana" w:hAnsi="Verdana" w:cs="Arial"/>
                <w:sz w:val="18"/>
                <w:szCs w:val="18"/>
              </w:rPr>
              <w:t>-</w:t>
            </w:r>
            <w:r w:rsidR="0052318B" w:rsidRPr="00DA23C5">
              <w:rPr>
                <w:rFonts w:ascii="Verdana" w:hAnsi="Verdana" w:cs="Arial"/>
                <w:sz w:val="18"/>
                <w:szCs w:val="18"/>
              </w:rPr>
              <w:t>3</w:t>
            </w:r>
          </w:p>
        </w:tc>
      </w:tr>
      <w:tr w:rsidR="0074500C" w:rsidRPr="00DA23C5" w:rsidTr="00446271">
        <w:trPr>
          <w:trHeight w:val="300"/>
        </w:trPr>
        <w:tc>
          <w:tcPr>
            <w:tcW w:w="3261" w:type="dxa"/>
            <w:tcBorders>
              <w:top w:val="nil"/>
              <w:left w:val="single" w:sz="4" w:space="0" w:color="auto"/>
              <w:bottom w:val="nil"/>
              <w:right w:val="single" w:sz="4" w:space="0" w:color="auto"/>
            </w:tcBorders>
            <w:shd w:val="clear" w:color="auto" w:fill="auto"/>
            <w:vAlign w:val="center"/>
            <w:hideMark/>
          </w:tcPr>
          <w:p w:rsidR="0074500C" w:rsidRPr="00DA23C5" w:rsidRDefault="0074500C" w:rsidP="00446271">
            <w:pPr>
              <w:jc w:val="both"/>
              <w:rPr>
                <w:rFonts w:ascii="Verdana" w:hAnsi="Verdana" w:cs="Arial"/>
                <w:sz w:val="18"/>
                <w:szCs w:val="18"/>
              </w:rPr>
            </w:pPr>
            <w:r w:rsidRPr="00DA23C5">
              <w:rPr>
                <w:rFonts w:ascii="Verdana" w:hAnsi="Verdana" w:cs="Arial"/>
                <w:sz w:val="18"/>
                <w:szCs w:val="18"/>
              </w:rPr>
              <w:t xml:space="preserve"> - Assunti</w:t>
            </w:r>
          </w:p>
        </w:tc>
        <w:tc>
          <w:tcPr>
            <w:tcW w:w="1260" w:type="dxa"/>
            <w:tcBorders>
              <w:top w:val="nil"/>
              <w:left w:val="single" w:sz="4" w:space="0" w:color="auto"/>
              <w:bottom w:val="nil"/>
              <w:right w:val="single" w:sz="8" w:space="0" w:color="auto"/>
            </w:tcBorders>
            <w:shd w:val="clear" w:color="auto" w:fill="auto"/>
            <w:vAlign w:val="center"/>
            <w:hideMark/>
          </w:tcPr>
          <w:p w:rsidR="0074500C" w:rsidRPr="00DA23C5" w:rsidRDefault="0074500C" w:rsidP="00446271">
            <w:pPr>
              <w:jc w:val="center"/>
              <w:rPr>
                <w:rFonts w:ascii="Verdana" w:hAnsi="Verdana" w:cs="Arial"/>
                <w:sz w:val="18"/>
                <w:szCs w:val="18"/>
              </w:rPr>
            </w:pPr>
          </w:p>
        </w:tc>
        <w:tc>
          <w:tcPr>
            <w:tcW w:w="1260" w:type="dxa"/>
            <w:tcBorders>
              <w:top w:val="nil"/>
              <w:left w:val="nil"/>
              <w:bottom w:val="nil"/>
              <w:right w:val="single" w:sz="8"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 </w:t>
            </w:r>
          </w:p>
        </w:tc>
        <w:tc>
          <w:tcPr>
            <w:tcW w:w="1635" w:type="dxa"/>
            <w:tcBorders>
              <w:top w:val="nil"/>
              <w:left w:val="nil"/>
              <w:bottom w:val="nil"/>
              <w:right w:val="single" w:sz="8" w:space="0" w:color="auto"/>
            </w:tcBorders>
            <w:shd w:val="clear" w:color="auto" w:fill="auto"/>
            <w:vAlign w:val="center"/>
          </w:tcPr>
          <w:p w:rsidR="0074500C" w:rsidRPr="00DA23C5" w:rsidRDefault="0052318B" w:rsidP="00446271">
            <w:pPr>
              <w:jc w:val="center"/>
              <w:rPr>
                <w:rFonts w:ascii="Verdana" w:hAnsi="Verdana" w:cs="Arial"/>
                <w:sz w:val="18"/>
                <w:szCs w:val="18"/>
              </w:rPr>
            </w:pPr>
            <w:r w:rsidRPr="00DA23C5">
              <w:rPr>
                <w:rFonts w:ascii="Verdana" w:hAnsi="Verdana" w:cs="Arial"/>
                <w:sz w:val="18"/>
                <w:szCs w:val="18"/>
              </w:rPr>
              <w:t>6</w:t>
            </w:r>
          </w:p>
        </w:tc>
        <w:tc>
          <w:tcPr>
            <w:tcW w:w="885" w:type="dxa"/>
            <w:tcBorders>
              <w:top w:val="nil"/>
              <w:left w:val="nil"/>
              <w:bottom w:val="nil"/>
              <w:right w:val="single" w:sz="8"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2</w:t>
            </w:r>
          </w:p>
        </w:tc>
        <w:tc>
          <w:tcPr>
            <w:tcW w:w="1260" w:type="dxa"/>
            <w:tcBorders>
              <w:top w:val="nil"/>
              <w:left w:val="single" w:sz="4" w:space="0" w:color="auto"/>
              <w:bottom w:val="nil"/>
              <w:right w:val="single" w:sz="4" w:space="0" w:color="auto"/>
            </w:tcBorders>
            <w:shd w:val="clear" w:color="auto" w:fill="auto"/>
            <w:vAlign w:val="center"/>
            <w:hideMark/>
          </w:tcPr>
          <w:p w:rsidR="0074500C" w:rsidRPr="00DA23C5" w:rsidRDefault="0052318B" w:rsidP="00446271">
            <w:pPr>
              <w:jc w:val="center"/>
              <w:rPr>
                <w:rFonts w:ascii="Verdana" w:hAnsi="Verdana" w:cs="Arial"/>
                <w:sz w:val="18"/>
                <w:szCs w:val="18"/>
              </w:rPr>
            </w:pPr>
            <w:r w:rsidRPr="00DA23C5">
              <w:rPr>
                <w:rFonts w:ascii="Verdana" w:hAnsi="Verdana" w:cs="Arial"/>
                <w:sz w:val="18"/>
                <w:szCs w:val="18"/>
              </w:rPr>
              <w:t>8</w:t>
            </w:r>
          </w:p>
        </w:tc>
      </w:tr>
      <w:tr w:rsidR="0074500C" w:rsidRPr="00DA23C5" w:rsidTr="00446271">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4500C" w:rsidRPr="00DA23C5" w:rsidRDefault="0074500C" w:rsidP="00446271">
            <w:pPr>
              <w:jc w:val="both"/>
              <w:rPr>
                <w:rFonts w:ascii="Verdana" w:hAnsi="Verdana" w:cs="Arial"/>
                <w:sz w:val="18"/>
                <w:szCs w:val="18"/>
              </w:rPr>
            </w:pPr>
            <w:r w:rsidRPr="00DA23C5">
              <w:rPr>
                <w:rFonts w:ascii="Verdana" w:hAnsi="Verdana" w:cs="Arial"/>
                <w:sz w:val="18"/>
                <w:szCs w:val="18"/>
              </w:rPr>
              <w:t xml:space="preserve"> - Variazioni di posizione </w:t>
            </w:r>
          </w:p>
        </w:tc>
        <w:tc>
          <w:tcPr>
            <w:tcW w:w="1260" w:type="dxa"/>
            <w:tcBorders>
              <w:top w:val="nil"/>
              <w:left w:val="single" w:sz="4" w:space="0" w:color="auto"/>
              <w:bottom w:val="single" w:sz="4" w:space="0" w:color="auto"/>
              <w:right w:val="single" w:sz="8"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 </w:t>
            </w:r>
          </w:p>
        </w:tc>
        <w:tc>
          <w:tcPr>
            <w:tcW w:w="1635" w:type="dxa"/>
            <w:tcBorders>
              <w:top w:val="nil"/>
              <w:left w:val="nil"/>
              <w:bottom w:val="single" w:sz="8" w:space="0" w:color="auto"/>
              <w:right w:val="single" w:sz="8"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 </w:t>
            </w:r>
          </w:p>
        </w:tc>
        <w:tc>
          <w:tcPr>
            <w:tcW w:w="885" w:type="dxa"/>
            <w:tcBorders>
              <w:top w:val="nil"/>
              <w:left w:val="nil"/>
              <w:bottom w:val="single" w:sz="8" w:space="0" w:color="auto"/>
              <w:right w:val="single" w:sz="8" w:space="0" w:color="auto"/>
            </w:tcBorders>
            <w:shd w:val="clear" w:color="auto" w:fill="auto"/>
            <w:vAlign w:val="center"/>
            <w:hideMark/>
          </w:tcPr>
          <w:p w:rsidR="0074500C" w:rsidRPr="00DA23C5" w:rsidRDefault="0074500C" w:rsidP="00446271">
            <w:pPr>
              <w:rPr>
                <w:rFonts w:ascii="Verdana" w:hAnsi="Verdana" w:cs="Arial"/>
                <w:sz w:val="18"/>
                <w:szCs w:val="18"/>
              </w:rPr>
            </w:pPr>
            <w:r w:rsidRPr="00DA23C5">
              <w:rPr>
                <w:rFonts w:ascii="Verdana" w:hAnsi="Verdana" w:cs="Arial"/>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74500C" w:rsidRPr="00DA23C5" w:rsidRDefault="0074500C" w:rsidP="00446271">
            <w:pPr>
              <w:jc w:val="center"/>
              <w:rPr>
                <w:rFonts w:ascii="Verdana" w:hAnsi="Verdana" w:cs="Arial"/>
                <w:sz w:val="18"/>
                <w:szCs w:val="18"/>
              </w:rPr>
            </w:pPr>
            <w:r w:rsidRPr="00DA23C5">
              <w:rPr>
                <w:rFonts w:ascii="Verdana" w:hAnsi="Verdana" w:cs="Arial"/>
                <w:sz w:val="18"/>
                <w:szCs w:val="18"/>
              </w:rPr>
              <w:t> </w:t>
            </w:r>
          </w:p>
        </w:tc>
      </w:tr>
      <w:tr w:rsidR="0074500C" w:rsidRPr="00DA23C5" w:rsidTr="00446271">
        <w:trPr>
          <w:trHeight w:val="315"/>
        </w:trPr>
        <w:tc>
          <w:tcPr>
            <w:tcW w:w="3261"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74500C" w:rsidRPr="00DA23C5" w:rsidRDefault="0074500C" w:rsidP="00446271">
            <w:pPr>
              <w:rPr>
                <w:rFonts w:ascii="Verdana" w:hAnsi="Verdana" w:cs="Arial"/>
                <w:sz w:val="18"/>
                <w:szCs w:val="18"/>
              </w:rPr>
            </w:pPr>
            <w:r w:rsidRPr="00DA23C5">
              <w:rPr>
                <w:rFonts w:ascii="Verdana" w:hAnsi="Verdana" w:cs="Arial"/>
                <w:sz w:val="18"/>
                <w:szCs w:val="18"/>
              </w:rPr>
              <w:t xml:space="preserve">Al 31.12.2022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00C" w:rsidRPr="00DA23C5" w:rsidRDefault="0074500C" w:rsidP="00446271">
            <w:pPr>
              <w:jc w:val="center"/>
              <w:rPr>
                <w:rFonts w:ascii="Verdana" w:hAnsi="Verdana" w:cs="Arial"/>
                <w:b/>
                <w:bCs/>
                <w:sz w:val="18"/>
                <w:szCs w:val="18"/>
              </w:rPr>
            </w:pPr>
            <w:r w:rsidRPr="00DA23C5">
              <w:rPr>
                <w:rFonts w:ascii="Verdana" w:hAnsi="Verdana" w:cs="Arial"/>
                <w:b/>
                <w:bCs/>
                <w:sz w:val="18"/>
                <w:szCs w:val="18"/>
              </w:rPr>
              <w:t>4</w:t>
            </w:r>
            <w:r w:rsidRPr="00DA23C5">
              <w:rPr>
                <w:rFonts w:ascii="Verdana" w:hAnsi="Verdana" w:cs="Arial"/>
                <w:sz w:val="18"/>
                <w:szCs w:val="18"/>
              </w:rPr>
              <w:t>(*)</w:t>
            </w:r>
          </w:p>
        </w:tc>
        <w:tc>
          <w:tcPr>
            <w:tcW w:w="126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4500C" w:rsidRPr="00DA23C5" w:rsidRDefault="0074500C" w:rsidP="00446271">
            <w:pPr>
              <w:jc w:val="center"/>
              <w:rPr>
                <w:rFonts w:ascii="Verdana" w:hAnsi="Verdana" w:cs="Arial"/>
                <w:b/>
                <w:bCs/>
                <w:sz w:val="18"/>
                <w:szCs w:val="18"/>
              </w:rPr>
            </w:pPr>
            <w:r w:rsidRPr="00DA23C5">
              <w:rPr>
                <w:rFonts w:ascii="Verdana" w:hAnsi="Verdana" w:cs="Arial"/>
                <w:b/>
                <w:bCs/>
                <w:sz w:val="18"/>
                <w:szCs w:val="18"/>
              </w:rPr>
              <w:t>7</w:t>
            </w:r>
          </w:p>
        </w:tc>
        <w:tc>
          <w:tcPr>
            <w:tcW w:w="1635" w:type="dxa"/>
            <w:tcBorders>
              <w:top w:val="single" w:sz="8" w:space="0" w:color="auto"/>
              <w:left w:val="nil"/>
              <w:bottom w:val="single" w:sz="4" w:space="0" w:color="auto"/>
              <w:right w:val="single" w:sz="8" w:space="0" w:color="auto"/>
            </w:tcBorders>
            <w:shd w:val="clear" w:color="auto" w:fill="auto"/>
            <w:vAlign w:val="center"/>
            <w:hideMark/>
          </w:tcPr>
          <w:p w:rsidR="0074500C" w:rsidRPr="00DA23C5" w:rsidRDefault="0074500C" w:rsidP="00446271">
            <w:pPr>
              <w:jc w:val="center"/>
              <w:rPr>
                <w:rFonts w:ascii="Verdana" w:hAnsi="Verdana" w:cs="Arial"/>
                <w:b/>
                <w:bCs/>
                <w:sz w:val="18"/>
                <w:szCs w:val="18"/>
              </w:rPr>
            </w:pPr>
            <w:r w:rsidRPr="00DA23C5">
              <w:rPr>
                <w:rFonts w:ascii="Verdana" w:hAnsi="Verdana" w:cs="Arial"/>
                <w:b/>
                <w:sz w:val="18"/>
                <w:szCs w:val="18"/>
              </w:rPr>
              <w:t>91 (*)(**)</w:t>
            </w:r>
          </w:p>
        </w:tc>
        <w:tc>
          <w:tcPr>
            <w:tcW w:w="885" w:type="dxa"/>
            <w:tcBorders>
              <w:top w:val="single" w:sz="8" w:space="0" w:color="auto"/>
              <w:left w:val="nil"/>
              <w:bottom w:val="single" w:sz="4" w:space="0" w:color="auto"/>
              <w:right w:val="single" w:sz="8" w:space="0" w:color="auto"/>
            </w:tcBorders>
            <w:shd w:val="clear" w:color="auto" w:fill="auto"/>
            <w:vAlign w:val="center"/>
            <w:hideMark/>
          </w:tcPr>
          <w:p w:rsidR="0074500C" w:rsidRPr="00DA23C5" w:rsidRDefault="0074500C" w:rsidP="00446271">
            <w:pPr>
              <w:jc w:val="center"/>
              <w:rPr>
                <w:rFonts w:ascii="Verdana" w:hAnsi="Verdana" w:cs="Arial"/>
                <w:b/>
                <w:bCs/>
                <w:sz w:val="18"/>
                <w:szCs w:val="18"/>
              </w:rPr>
            </w:pPr>
            <w:r w:rsidRPr="00DA23C5">
              <w:rPr>
                <w:rFonts w:ascii="Verdana" w:hAnsi="Verdana" w:cs="Arial"/>
                <w:b/>
                <w:bCs/>
                <w:sz w:val="18"/>
                <w:szCs w:val="18"/>
              </w:rPr>
              <w:t>59</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4500C" w:rsidRPr="00DA23C5" w:rsidRDefault="0074500C" w:rsidP="00446271">
            <w:pPr>
              <w:jc w:val="center"/>
              <w:rPr>
                <w:rFonts w:ascii="Verdana" w:hAnsi="Verdana" w:cs="Arial"/>
                <w:b/>
                <w:bCs/>
                <w:sz w:val="18"/>
                <w:szCs w:val="18"/>
              </w:rPr>
            </w:pPr>
            <w:r w:rsidRPr="00DA23C5">
              <w:rPr>
                <w:rFonts w:ascii="Verdana" w:hAnsi="Verdana" w:cs="Arial"/>
                <w:b/>
                <w:bCs/>
                <w:sz w:val="18"/>
                <w:szCs w:val="18"/>
              </w:rPr>
              <w:t>161</w:t>
            </w:r>
          </w:p>
        </w:tc>
      </w:tr>
    </w:tbl>
    <w:p w:rsidR="0074500C" w:rsidRPr="00DA23C5" w:rsidRDefault="0074500C" w:rsidP="0074500C">
      <w:pPr>
        <w:jc w:val="both"/>
        <w:rPr>
          <w:rFonts w:ascii="Verdana" w:eastAsia="Calibri" w:hAnsi="Verdana"/>
          <w:sz w:val="18"/>
          <w:szCs w:val="18"/>
          <w:lang w:eastAsia="en-US"/>
        </w:rPr>
      </w:pPr>
      <w:r w:rsidRPr="00DA23C5">
        <w:rPr>
          <w:rFonts w:ascii="Verdana" w:eastAsia="Calibri" w:hAnsi="Verdana"/>
          <w:sz w:val="18"/>
          <w:szCs w:val="18"/>
          <w:lang w:eastAsia="en-US"/>
        </w:rPr>
        <w:t xml:space="preserve">(*) di cui a tempo determinato: n. 2 al 31/12/2021 e al 31/12/22 (DG e tecnico di laboratorio per sostituzione maternità). </w:t>
      </w:r>
    </w:p>
    <w:p w:rsidR="0074500C" w:rsidRPr="00DA23C5" w:rsidRDefault="0074500C" w:rsidP="0074500C">
      <w:pPr>
        <w:jc w:val="both"/>
        <w:rPr>
          <w:rFonts w:ascii="Verdana" w:hAnsi="Verdana"/>
          <w:snapToGrid w:val="0"/>
          <w:sz w:val="18"/>
          <w:szCs w:val="18"/>
        </w:rPr>
      </w:pPr>
      <w:r w:rsidRPr="00DA23C5">
        <w:rPr>
          <w:rFonts w:ascii="Verdana" w:eastAsia="Calibri" w:hAnsi="Verdana"/>
          <w:sz w:val="18"/>
          <w:szCs w:val="18"/>
          <w:lang w:eastAsia="en-US"/>
        </w:rPr>
        <w:t xml:space="preserve">(**) Al 31/12/2022: attivi n. </w:t>
      </w:r>
      <w:r w:rsidR="0052318B" w:rsidRPr="00DA23C5">
        <w:rPr>
          <w:rFonts w:ascii="Verdana" w:eastAsia="Calibri" w:hAnsi="Verdana"/>
          <w:sz w:val="18"/>
          <w:szCs w:val="18"/>
          <w:lang w:eastAsia="en-US"/>
        </w:rPr>
        <w:t>4</w:t>
      </w:r>
      <w:r w:rsidRPr="00DA23C5">
        <w:rPr>
          <w:rFonts w:ascii="Verdana" w:eastAsia="Calibri" w:hAnsi="Verdana"/>
          <w:sz w:val="18"/>
          <w:szCs w:val="18"/>
          <w:lang w:eastAsia="en-US"/>
        </w:rPr>
        <w:t xml:space="preserve"> contratti di apprendistato (al 31/12/21 ne erano attivi</w:t>
      </w:r>
      <w:r w:rsidR="0052318B" w:rsidRPr="00DA23C5">
        <w:rPr>
          <w:rFonts w:ascii="Verdana" w:eastAsia="Calibri" w:hAnsi="Verdana"/>
          <w:sz w:val="18"/>
          <w:szCs w:val="18"/>
          <w:lang w:eastAsia="en-US"/>
        </w:rPr>
        <w:t xml:space="preserve"> n.</w:t>
      </w:r>
      <w:r w:rsidRPr="00DA23C5">
        <w:rPr>
          <w:rFonts w:ascii="Verdana" w:eastAsia="Calibri" w:hAnsi="Verdana"/>
          <w:sz w:val="18"/>
          <w:szCs w:val="18"/>
          <w:lang w:eastAsia="en-US"/>
        </w:rPr>
        <w:t>3)</w:t>
      </w:r>
    </w:p>
    <w:p w:rsidR="000A2BA6" w:rsidRPr="00DA23C5" w:rsidRDefault="009B4B06">
      <w:pPr>
        <w:jc w:val="both"/>
        <w:rPr>
          <w:rFonts w:ascii="Verdana" w:hAnsi="Verdana"/>
          <w:snapToGrid w:val="0"/>
          <w:sz w:val="18"/>
          <w:szCs w:val="18"/>
        </w:rPr>
      </w:pPr>
      <w:r w:rsidRPr="00DA23C5">
        <w:rPr>
          <w:rFonts w:ascii="Verdana" w:hAnsi="Verdana"/>
          <w:snapToGrid w:val="0"/>
          <w:sz w:val="18"/>
          <w:szCs w:val="18"/>
        </w:rPr>
        <w:t>I</w:t>
      </w:r>
      <w:r w:rsidR="000A2BA6" w:rsidRPr="00DA23C5">
        <w:rPr>
          <w:rFonts w:ascii="Verdana" w:hAnsi="Verdana"/>
          <w:snapToGrid w:val="0"/>
          <w:sz w:val="18"/>
          <w:szCs w:val="18"/>
        </w:rPr>
        <w:t xml:space="preserve"> costi del personale </w:t>
      </w:r>
      <w:r w:rsidRPr="00DA23C5">
        <w:rPr>
          <w:rFonts w:ascii="Verdana" w:hAnsi="Verdana"/>
          <w:snapToGrid w:val="0"/>
          <w:sz w:val="18"/>
          <w:szCs w:val="18"/>
        </w:rPr>
        <w:t xml:space="preserve">del </w:t>
      </w:r>
      <w:proofErr w:type="spellStart"/>
      <w:r w:rsidRPr="00DA23C5">
        <w:rPr>
          <w:rFonts w:ascii="Verdana" w:hAnsi="Verdana"/>
          <w:snapToGrid w:val="0"/>
          <w:sz w:val="18"/>
          <w:szCs w:val="18"/>
        </w:rPr>
        <w:t>bdg</w:t>
      </w:r>
      <w:proofErr w:type="spellEnd"/>
      <w:r w:rsidRPr="00DA23C5">
        <w:rPr>
          <w:rFonts w:ascii="Verdana" w:hAnsi="Verdana"/>
          <w:snapToGrid w:val="0"/>
          <w:sz w:val="18"/>
          <w:szCs w:val="18"/>
        </w:rPr>
        <w:t xml:space="preserve"> 2023 pari a 9,4 mln/euro sono superiori al preconsuntivo 2022 di 0,3 mln/euro</w:t>
      </w:r>
      <w:r w:rsidR="005D54D4" w:rsidRPr="00DA23C5">
        <w:rPr>
          <w:rFonts w:ascii="Verdana" w:hAnsi="Verdana"/>
          <w:snapToGrid w:val="0"/>
          <w:sz w:val="18"/>
          <w:szCs w:val="18"/>
        </w:rPr>
        <w:t xml:space="preserve"> (principalmente per effetto del rinnovo del CCNL</w:t>
      </w:r>
      <w:proofErr w:type="gramStart"/>
      <w:r w:rsidR="005D54D4" w:rsidRPr="00DA23C5">
        <w:rPr>
          <w:rFonts w:ascii="Verdana" w:hAnsi="Verdana"/>
          <w:snapToGrid w:val="0"/>
          <w:sz w:val="18"/>
          <w:szCs w:val="18"/>
        </w:rPr>
        <w:t>).S</w:t>
      </w:r>
      <w:r w:rsidR="000A2BA6" w:rsidRPr="00DA23C5">
        <w:rPr>
          <w:rFonts w:ascii="Verdana" w:hAnsi="Verdana"/>
          <w:snapToGrid w:val="0"/>
          <w:sz w:val="18"/>
          <w:szCs w:val="18"/>
        </w:rPr>
        <w:t>i</w:t>
      </w:r>
      <w:proofErr w:type="gramEnd"/>
      <w:r w:rsidR="000A2BA6" w:rsidRPr="00DA23C5">
        <w:rPr>
          <w:rFonts w:ascii="Verdana" w:hAnsi="Verdana"/>
          <w:snapToGrid w:val="0"/>
          <w:sz w:val="18"/>
          <w:szCs w:val="18"/>
        </w:rPr>
        <w:t xml:space="preserve"> riporta di seguito la movimentazione numerica del personale </w:t>
      </w:r>
      <w:r w:rsidR="00F0423E" w:rsidRPr="00DA23C5">
        <w:rPr>
          <w:rFonts w:ascii="Verdana" w:hAnsi="Verdana"/>
          <w:snapToGrid w:val="0"/>
          <w:sz w:val="18"/>
          <w:szCs w:val="18"/>
        </w:rPr>
        <w:t>prevista nel 2023</w:t>
      </w:r>
      <w:r w:rsidR="000A2BA6" w:rsidRPr="00DA23C5">
        <w:rPr>
          <w:rFonts w:ascii="Verdana" w:hAnsi="Verdana"/>
          <w:snapToGrid w:val="0"/>
          <w:sz w:val="18"/>
          <w:szCs w:val="18"/>
        </w:rPr>
        <w:t>:</w:t>
      </w:r>
    </w:p>
    <w:tbl>
      <w:tblPr>
        <w:tblW w:w="9923" w:type="dxa"/>
        <w:tblInd w:w="70" w:type="dxa"/>
        <w:tblCellMar>
          <w:left w:w="70" w:type="dxa"/>
          <w:right w:w="70" w:type="dxa"/>
        </w:tblCellMar>
        <w:tblLook w:val="04A0" w:firstRow="1" w:lastRow="0" w:firstColumn="1" w:lastColumn="0" w:noHBand="0" w:noVBand="1"/>
      </w:tblPr>
      <w:tblGrid>
        <w:gridCol w:w="3261"/>
        <w:gridCol w:w="1260"/>
        <w:gridCol w:w="1260"/>
        <w:gridCol w:w="1260"/>
        <w:gridCol w:w="1260"/>
        <w:gridCol w:w="1622"/>
      </w:tblGrid>
      <w:tr w:rsidR="000A2BA6" w:rsidRPr="00DA23C5" w:rsidTr="00660F93">
        <w:trPr>
          <w:trHeight w:val="315"/>
        </w:trPr>
        <w:tc>
          <w:tcPr>
            <w:tcW w:w="3261" w:type="dxa"/>
            <w:tcBorders>
              <w:top w:val="nil"/>
              <w:left w:val="nil"/>
              <w:bottom w:val="nil"/>
              <w:right w:val="nil"/>
            </w:tcBorders>
            <w:shd w:val="clear" w:color="auto" w:fill="auto"/>
            <w:vAlign w:val="center"/>
            <w:hideMark/>
          </w:tcPr>
          <w:p w:rsidR="000A2BA6" w:rsidRPr="00DA23C5" w:rsidRDefault="000A2BA6" w:rsidP="00071495">
            <w:pPr>
              <w:rPr>
                <w:rFonts w:ascii="Verdana" w:hAnsi="Verdana"/>
                <w:sz w:val="18"/>
                <w:szCs w:val="18"/>
              </w:rPr>
            </w:pPr>
          </w:p>
          <w:p w:rsidR="000A2BA6" w:rsidRPr="00DA23C5" w:rsidRDefault="000A2BA6" w:rsidP="00071495">
            <w:pPr>
              <w:rPr>
                <w:rFonts w:ascii="Verdana" w:hAnsi="Verdana"/>
                <w:sz w:val="18"/>
                <w:szCs w:val="18"/>
              </w:rPr>
            </w:pP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A2BA6" w:rsidRPr="00DA23C5" w:rsidRDefault="000A2BA6" w:rsidP="00071495">
            <w:pPr>
              <w:jc w:val="center"/>
              <w:rPr>
                <w:rFonts w:ascii="Verdana" w:hAnsi="Verdana" w:cs="Arial"/>
                <w:b/>
                <w:bCs/>
                <w:sz w:val="18"/>
                <w:szCs w:val="18"/>
              </w:rPr>
            </w:pPr>
            <w:r w:rsidRPr="00DA23C5">
              <w:rPr>
                <w:rFonts w:ascii="Verdana" w:hAnsi="Verdana" w:cs="Arial"/>
                <w:b/>
                <w:bCs/>
                <w:sz w:val="18"/>
                <w:szCs w:val="18"/>
              </w:rPr>
              <w:t>Dirigenti</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0A2BA6" w:rsidRPr="00DA23C5" w:rsidRDefault="000A2BA6" w:rsidP="00071495">
            <w:pPr>
              <w:jc w:val="center"/>
              <w:rPr>
                <w:rFonts w:ascii="Verdana" w:hAnsi="Verdana" w:cs="Arial"/>
                <w:b/>
                <w:bCs/>
                <w:sz w:val="18"/>
                <w:szCs w:val="18"/>
              </w:rPr>
            </w:pPr>
            <w:r w:rsidRPr="00DA23C5">
              <w:rPr>
                <w:rFonts w:ascii="Verdana" w:hAnsi="Verdana" w:cs="Arial"/>
                <w:b/>
                <w:bCs/>
                <w:sz w:val="18"/>
                <w:szCs w:val="18"/>
              </w:rPr>
              <w:t>Quadri</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0A2BA6" w:rsidRPr="00DA23C5" w:rsidRDefault="000A2BA6" w:rsidP="00071495">
            <w:pPr>
              <w:jc w:val="center"/>
              <w:rPr>
                <w:rFonts w:ascii="Verdana" w:hAnsi="Verdana" w:cs="Arial"/>
                <w:b/>
                <w:bCs/>
                <w:sz w:val="18"/>
                <w:szCs w:val="18"/>
              </w:rPr>
            </w:pPr>
            <w:r w:rsidRPr="00DA23C5">
              <w:rPr>
                <w:rFonts w:ascii="Verdana" w:hAnsi="Verdana" w:cs="Arial"/>
                <w:b/>
                <w:bCs/>
                <w:sz w:val="18"/>
                <w:szCs w:val="18"/>
              </w:rPr>
              <w:t>Impiegati</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0A2BA6" w:rsidRPr="00DA23C5" w:rsidRDefault="000A2BA6" w:rsidP="00071495">
            <w:pPr>
              <w:jc w:val="center"/>
              <w:rPr>
                <w:rFonts w:ascii="Verdana" w:hAnsi="Verdana" w:cs="Arial"/>
                <w:b/>
                <w:bCs/>
                <w:sz w:val="18"/>
                <w:szCs w:val="18"/>
              </w:rPr>
            </w:pPr>
            <w:r w:rsidRPr="00DA23C5">
              <w:rPr>
                <w:rFonts w:ascii="Verdana" w:hAnsi="Verdana" w:cs="Arial"/>
                <w:b/>
                <w:bCs/>
                <w:sz w:val="18"/>
                <w:szCs w:val="18"/>
              </w:rPr>
              <w:t>Operai</w:t>
            </w:r>
          </w:p>
        </w:tc>
        <w:tc>
          <w:tcPr>
            <w:tcW w:w="1622" w:type="dxa"/>
            <w:tcBorders>
              <w:top w:val="single" w:sz="4" w:space="0" w:color="auto"/>
              <w:left w:val="nil"/>
              <w:bottom w:val="single" w:sz="8" w:space="0" w:color="auto"/>
              <w:right w:val="single" w:sz="4" w:space="0" w:color="auto"/>
            </w:tcBorders>
            <w:shd w:val="clear" w:color="auto" w:fill="auto"/>
            <w:vAlign w:val="center"/>
            <w:hideMark/>
          </w:tcPr>
          <w:p w:rsidR="000A2BA6" w:rsidRPr="00DA23C5" w:rsidRDefault="000A2BA6" w:rsidP="00071495">
            <w:pPr>
              <w:jc w:val="center"/>
              <w:rPr>
                <w:rFonts w:ascii="Verdana" w:hAnsi="Verdana" w:cs="Arial"/>
                <w:b/>
                <w:bCs/>
                <w:sz w:val="18"/>
                <w:szCs w:val="18"/>
              </w:rPr>
            </w:pPr>
            <w:proofErr w:type="gramStart"/>
            <w:r w:rsidRPr="00DA23C5">
              <w:rPr>
                <w:rFonts w:ascii="Verdana" w:hAnsi="Verdana" w:cs="Arial"/>
                <w:b/>
                <w:bCs/>
                <w:sz w:val="18"/>
                <w:szCs w:val="18"/>
              </w:rPr>
              <w:t>totale</w:t>
            </w:r>
            <w:proofErr w:type="gramEnd"/>
          </w:p>
        </w:tc>
      </w:tr>
      <w:tr w:rsidR="00F0423E" w:rsidRPr="00DA23C5" w:rsidTr="00660F93">
        <w:trPr>
          <w:trHeight w:val="315"/>
        </w:trPr>
        <w:tc>
          <w:tcPr>
            <w:tcW w:w="3261"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F0423E" w:rsidRPr="00DA23C5" w:rsidRDefault="00F0423E" w:rsidP="00F0423E">
            <w:pPr>
              <w:rPr>
                <w:rFonts w:ascii="Verdana" w:hAnsi="Verdana" w:cs="Arial"/>
                <w:sz w:val="18"/>
                <w:szCs w:val="18"/>
              </w:rPr>
            </w:pPr>
            <w:r w:rsidRPr="00DA23C5">
              <w:rPr>
                <w:rFonts w:ascii="Verdana" w:hAnsi="Verdana" w:cs="Arial"/>
                <w:sz w:val="18"/>
                <w:szCs w:val="18"/>
              </w:rPr>
              <w:t xml:space="preserve">Al 31.12.2022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23E" w:rsidRPr="00DA23C5" w:rsidRDefault="00F0423E" w:rsidP="00F0423E">
            <w:pPr>
              <w:jc w:val="center"/>
              <w:rPr>
                <w:rFonts w:ascii="Verdana" w:hAnsi="Verdana" w:cs="Arial"/>
                <w:b/>
                <w:bCs/>
                <w:sz w:val="18"/>
                <w:szCs w:val="18"/>
              </w:rPr>
            </w:pPr>
            <w:r w:rsidRPr="00DA23C5">
              <w:rPr>
                <w:rFonts w:ascii="Verdana" w:hAnsi="Verdana" w:cs="Arial"/>
                <w:b/>
                <w:bCs/>
                <w:sz w:val="18"/>
                <w:szCs w:val="18"/>
              </w:rPr>
              <w:t>4</w:t>
            </w:r>
            <w:r w:rsidRPr="00DA23C5">
              <w:rPr>
                <w:rFonts w:ascii="Verdana" w:hAnsi="Verdana" w:cs="Arial"/>
                <w:sz w:val="18"/>
                <w:szCs w:val="18"/>
              </w:rPr>
              <w:t>(*)</w:t>
            </w:r>
          </w:p>
        </w:tc>
        <w:tc>
          <w:tcPr>
            <w:tcW w:w="12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0423E" w:rsidRPr="00DA23C5" w:rsidRDefault="00F0423E" w:rsidP="00F0423E">
            <w:pPr>
              <w:jc w:val="center"/>
              <w:rPr>
                <w:rFonts w:ascii="Verdana" w:hAnsi="Verdana" w:cs="Arial"/>
                <w:b/>
                <w:bCs/>
                <w:sz w:val="18"/>
                <w:szCs w:val="18"/>
              </w:rPr>
            </w:pPr>
            <w:r w:rsidRPr="00DA23C5">
              <w:rPr>
                <w:rFonts w:ascii="Verdana" w:hAnsi="Verdana" w:cs="Arial"/>
                <w:b/>
                <w:bCs/>
                <w:sz w:val="18"/>
                <w:szCs w:val="18"/>
              </w:rPr>
              <w:t>7</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F0423E" w:rsidRPr="00DA23C5" w:rsidRDefault="00F0423E" w:rsidP="00F0423E">
            <w:pPr>
              <w:jc w:val="center"/>
              <w:rPr>
                <w:rFonts w:ascii="Verdana" w:hAnsi="Verdana" w:cs="Arial"/>
                <w:b/>
                <w:bCs/>
                <w:sz w:val="18"/>
                <w:szCs w:val="18"/>
              </w:rPr>
            </w:pPr>
            <w:r w:rsidRPr="00DA23C5">
              <w:rPr>
                <w:rFonts w:ascii="Verdana" w:hAnsi="Verdana" w:cs="Arial"/>
                <w:b/>
                <w:sz w:val="18"/>
                <w:szCs w:val="18"/>
              </w:rPr>
              <w:t>91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F0423E" w:rsidRPr="00DA23C5" w:rsidRDefault="00F0423E" w:rsidP="00F0423E">
            <w:pPr>
              <w:jc w:val="center"/>
              <w:rPr>
                <w:rFonts w:ascii="Verdana" w:hAnsi="Verdana" w:cs="Arial"/>
                <w:b/>
                <w:bCs/>
                <w:sz w:val="18"/>
                <w:szCs w:val="18"/>
              </w:rPr>
            </w:pPr>
            <w:r w:rsidRPr="00DA23C5">
              <w:rPr>
                <w:rFonts w:ascii="Verdana" w:hAnsi="Verdana" w:cs="Arial"/>
                <w:b/>
                <w:bCs/>
                <w:sz w:val="18"/>
                <w:szCs w:val="18"/>
              </w:rPr>
              <w:t>59</w:t>
            </w:r>
          </w:p>
        </w:tc>
        <w:tc>
          <w:tcPr>
            <w:tcW w:w="1622" w:type="dxa"/>
            <w:tcBorders>
              <w:top w:val="single" w:sz="8" w:space="0" w:color="auto"/>
              <w:left w:val="nil"/>
              <w:bottom w:val="single" w:sz="8" w:space="0" w:color="auto"/>
              <w:right w:val="single" w:sz="4" w:space="0" w:color="auto"/>
            </w:tcBorders>
            <w:shd w:val="clear" w:color="auto" w:fill="auto"/>
            <w:vAlign w:val="center"/>
            <w:hideMark/>
          </w:tcPr>
          <w:p w:rsidR="00F0423E" w:rsidRPr="00DA23C5" w:rsidRDefault="00F0423E" w:rsidP="00F0423E">
            <w:pPr>
              <w:jc w:val="center"/>
              <w:rPr>
                <w:rFonts w:ascii="Verdana" w:hAnsi="Verdana" w:cs="Arial"/>
                <w:b/>
                <w:bCs/>
                <w:sz w:val="18"/>
                <w:szCs w:val="18"/>
              </w:rPr>
            </w:pPr>
            <w:r w:rsidRPr="00DA23C5">
              <w:rPr>
                <w:rFonts w:ascii="Verdana" w:hAnsi="Verdana" w:cs="Arial"/>
                <w:b/>
                <w:bCs/>
                <w:sz w:val="18"/>
                <w:szCs w:val="18"/>
              </w:rPr>
              <w:t>161</w:t>
            </w:r>
          </w:p>
        </w:tc>
      </w:tr>
      <w:tr w:rsidR="000A2BA6" w:rsidRPr="00DA23C5" w:rsidTr="00660F93">
        <w:trPr>
          <w:trHeight w:val="31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0A2BA6" w:rsidRPr="00DA23C5" w:rsidRDefault="000A2BA6" w:rsidP="00F0423E">
            <w:pPr>
              <w:jc w:val="both"/>
              <w:rPr>
                <w:rFonts w:ascii="Verdana" w:hAnsi="Verdana" w:cs="Arial"/>
                <w:sz w:val="18"/>
                <w:szCs w:val="18"/>
              </w:rPr>
            </w:pPr>
            <w:r w:rsidRPr="00DA23C5">
              <w:rPr>
                <w:rFonts w:ascii="Verdana" w:hAnsi="Verdana" w:cs="Arial"/>
                <w:sz w:val="18"/>
                <w:szCs w:val="18"/>
              </w:rPr>
              <w:t>Variazioni previste nel 202</w:t>
            </w:r>
            <w:r w:rsidR="00F0423E" w:rsidRPr="00DA23C5">
              <w:rPr>
                <w:rFonts w:ascii="Verdana" w:hAnsi="Verdana" w:cs="Arial"/>
                <w:sz w:val="18"/>
                <w:szCs w:val="18"/>
              </w:rPr>
              <w:t>3:</w:t>
            </w:r>
          </w:p>
        </w:tc>
        <w:tc>
          <w:tcPr>
            <w:tcW w:w="1260" w:type="dxa"/>
            <w:tcBorders>
              <w:top w:val="single" w:sz="4" w:space="0" w:color="auto"/>
              <w:left w:val="single" w:sz="4" w:space="0" w:color="auto"/>
              <w:bottom w:val="nil"/>
              <w:right w:val="single" w:sz="8" w:space="0" w:color="auto"/>
            </w:tcBorders>
            <w:shd w:val="clear" w:color="auto" w:fill="auto"/>
            <w:vAlign w:val="center"/>
            <w:hideMark/>
          </w:tcPr>
          <w:p w:rsidR="000A2BA6" w:rsidRPr="00DA23C5" w:rsidRDefault="000A2BA6" w:rsidP="00071495">
            <w:pPr>
              <w:rPr>
                <w:rFonts w:ascii="Verdana" w:hAnsi="Verdana" w:cs="Arial"/>
                <w:sz w:val="18"/>
                <w:szCs w:val="18"/>
              </w:rPr>
            </w:pPr>
            <w:r w:rsidRPr="00DA23C5">
              <w:rPr>
                <w:rFonts w:ascii="Verdana" w:hAnsi="Verdana" w:cs="Arial"/>
                <w:sz w:val="18"/>
                <w:szCs w:val="18"/>
              </w:rPr>
              <w:t> </w:t>
            </w:r>
          </w:p>
        </w:tc>
        <w:tc>
          <w:tcPr>
            <w:tcW w:w="1260" w:type="dxa"/>
            <w:tcBorders>
              <w:top w:val="nil"/>
              <w:left w:val="nil"/>
              <w:bottom w:val="nil"/>
              <w:right w:val="single" w:sz="8" w:space="0" w:color="auto"/>
            </w:tcBorders>
            <w:shd w:val="clear" w:color="auto" w:fill="auto"/>
            <w:vAlign w:val="center"/>
            <w:hideMark/>
          </w:tcPr>
          <w:p w:rsidR="000A2BA6" w:rsidRPr="00DA23C5" w:rsidRDefault="000A2BA6" w:rsidP="00071495">
            <w:pPr>
              <w:jc w:val="center"/>
              <w:rPr>
                <w:rFonts w:ascii="Verdana" w:hAnsi="Verdana" w:cs="Arial"/>
                <w:sz w:val="18"/>
                <w:szCs w:val="18"/>
              </w:rPr>
            </w:pPr>
            <w:r w:rsidRPr="00DA23C5">
              <w:rPr>
                <w:rFonts w:ascii="Verdana" w:hAnsi="Verdana" w:cs="Arial"/>
                <w:sz w:val="18"/>
                <w:szCs w:val="18"/>
              </w:rPr>
              <w:t> </w:t>
            </w:r>
          </w:p>
        </w:tc>
        <w:tc>
          <w:tcPr>
            <w:tcW w:w="1260" w:type="dxa"/>
            <w:tcBorders>
              <w:top w:val="nil"/>
              <w:left w:val="nil"/>
              <w:bottom w:val="nil"/>
              <w:right w:val="single" w:sz="8" w:space="0" w:color="auto"/>
            </w:tcBorders>
            <w:shd w:val="clear" w:color="auto" w:fill="auto"/>
            <w:vAlign w:val="center"/>
            <w:hideMark/>
          </w:tcPr>
          <w:p w:rsidR="000A2BA6" w:rsidRPr="00DA23C5" w:rsidRDefault="000A2BA6" w:rsidP="00071495">
            <w:pPr>
              <w:jc w:val="center"/>
              <w:rPr>
                <w:rFonts w:ascii="Verdana" w:hAnsi="Verdana" w:cs="Arial"/>
                <w:sz w:val="18"/>
                <w:szCs w:val="18"/>
              </w:rPr>
            </w:pPr>
            <w:r w:rsidRPr="00DA23C5">
              <w:rPr>
                <w:rFonts w:ascii="Verdana" w:hAnsi="Verdana" w:cs="Arial"/>
                <w:sz w:val="18"/>
                <w:szCs w:val="18"/>
              </w:rPr>
              <w:t> </w:t>
            </w:r>
          </w:p>
        </w:tc>
        <w:tc>
          <w:tcPr>
            <w:tcW w:w="1260" w:type="dxa"/>
            <w:tcBorders>
              <w:top w:val="nil"/>
              <w:left w:val="nil"/>
              <w:bottom w:val="nil"/>
              <w:right w:val="single" w:sz="8" w:space="0" w:color="auto"/>
            </w:tcBorders>
            <w:shd w:val="clear" w:color="auto" w:fill="auto"/>
            <w:vAlign w:val="center"/>
            <w:hideMark/>
          </w:tcPr>
          <w:p w:rsidR="000A2BA6" w:rsidRPr="00DA23C5" w:rsidRDefault="000A2BA6" w:rsidP="00071495">
            <w:pPr>
              <w:jc w:val="center"/>
              <w:rPr>
                <w:rFonts w:ascii="Verdana" w:hAnsi="Verdana" w:cs="Arial"/>
                <w:sz w:val="18"/>
                <w:szCs w:val="18"/>
              </w:rPr>
            </w:pPr>
            <w:r w:rsidRPr="00DA23C5">
              <w:rPr>
                <w:rFonts w:ascii="Verdana" w:hAnsi="Verdana" w:cs="Arial"/>
                <w:sz w:val="18"/>
                <w:szCs w:val="18"/>
              </w:rPr>
              <w:t> </w:t>
            </w:r>
          </w:p>
        </w:tc>
        <w:tc>
          <w:tcPr>
            <w:tcW w:w="1622" w:type="dxa"/>
            <w:tcBorders>
              <w:top w:val="nil"/>
              <w:left w:val="nil"/>
              <w:bottom w:val="nil"/>
              <w:right w:val="single" w:sz="8" w:space="0" w:color="auto"/>
            </w:tcBorders>
            <w:shd w:val="clear" w:color="auto" w:fill="auto"/>
            <w:vAlign w:val="center"/>
            <w:hideMark/>
          </w:tcPr>
          <w:p w:rsidR="000A2BA6" w:rsidRPr="00DA23C5" w:rsidRDefault="000A2BA6" w:rsidP="00071495">
            <w:pPr>
              <w:jc w:val="center"/>
              <w:rPr>
                <w:rFonts w:ascii="Verdana" w:hAnsi="Verdana" w:cs="Arial"/>
                <w:sz w:val="18"/>
                <w:szCs w:val="18"/>
              </w:rPr>
            </w:pPr>
            <w:r w:rsidRPr="00DA23C5">
              <w:rPr>
                <w:rFonts w:ascii="Verdana" w:hAnsi="Verdana" w:cs="Arial"/>
                <w:sz w:val="18"/>
                <w:szCs w:val="18"/>
              </w:rPr>
              <w:t> </w:t>
            </w:r>
          </w:p>
        </w:tc>
      </w:tr>
      <w:tr w:rsidR="000A2BA6" w:rsidRPr="00DA23C5" w:rsidTr="00F0423E">
        <w:trPr>
          <w:trHeight w:val="300"/>
        </w:trPr>
        <w:tc>
          <w:tcPr>
            <w:tcW w:w="3261" w:type="dxa"/>
            <w:tcBorders>
              <w:top w:val="nil"/>
              <w:left w:val="single" w:sz="4" w:space="0" w:color="auto"/>
              <w:bottom w:val="nil"/>
              <w:right w:val="single" w:sz="4" w:space="0" w:color="auto"/>
            </w:tcBorders>
            <w:shd w:val="clear" w:color="auto" w:fill="auto"/>
            <w:vAlign w:val="center"/>
            <w:hideMark/>
          </w:tcPr>
          <w:p w:rsidR="000A2BA6" w:rsidRPr="00DA23C5" w:rsidRDefault="000A2BA6" w:rsidP="00071495">
            <w:pPr>
              <w:jc w:val="both"/>
              <w:rPr>
                <w:rFonts w:ascii="Verdana" w:hAnsi="Verdana" w:cs="Arial"/>
                <w:sz w:val="18"/>
                <w:szCs w:val="18"/>
              </w:rPr>
            </w:pPr>
            <w:r w:rsidRPr="00DA23C5">
              <w:rPr>
                <w:rFonts w:ascii="Verdana" w:hAnsi="Verdana" w:cs="Arial"/>
                <w:sz w:val="18"/>
                <w:szCs w:val="18"/>
              </w:rPr>
              <w:t xml:space="preserve"> - Cessati</w:t>
            </w:r>
          </w:p>
        </w:tc>
        <w:tc>
          <w:tcPr>
            <w:tcW w:w="1260" w:type="dxa"/>
            <w:tcBorders>
              <w:top w:val="nil"/>
              <w:left w:val="single" w:sz="4" w:space="0" w:color="auto"/>
              <w:bottom w:val="nil"/>
              <w:right w:val="single" w:sz="8" w:space="0" w:color="auto"/>
            </w:tcBorders>
            <w:shd w:val="clear" w:color="auto" w:fill="auto"/>
            <w:vAlign w:val="center"/>
          </w:tcPr>
          <w:p w:rsidR="000A2BA6" w:rsidRPr="00DA23C5" w:rsidRDefault="000A2BA6" w:rsidP="00071495">
            <w:pPr>
              <w:rPr>
                <w:rFonts w:ascii="Verdana" w:hAnsi="Verdana" w:cs="Arial"/>
                <w:sz w:val="18"/>
                <w:szCs w:val="18"/>
              </w:rPr>
            </w:pPr>
          </w:p>
        </w:tc>
        <w:tc>
          <w:tcPr>
            <w:tcW w:w="1260" w:type="dxa"/>
            <w:tcBorders>
              <w:top w:val="nil"/>
              <w:left w:val="nil"/>
              <w:bottom w:val="nil"/>
              <w:right w:val="single" w:sz="8" w:space="0" w:color="auto"/>
            </w:tcBorders>
            <w:shd w:val="clear" w:color="auto" w:fill="auto"/>
            <w:vAlign w:val="center"/>
          </w:tcPr>
          <w:p w:rsidR="000A2BA6" w:rsidRPr="00DA23C5" w:rsidRDefault="000A2BA6" w:rsidP="00071495">
            <w:pPr>
              <w:jc w:val="center"/>
              <w:rPr>
                <w:rFonts w:ascii="Verdana" w:hAnsi="Verdana" w:cs="Arial"/>
                <w:sz w:val="18"/>
                <w:szCs w:val="18"/>
              </w:rPr>
            </w:pPr>
          </w:p>
        </w:tc>
        <w:tc>
          <w:tcPr>
            <w:tcW w:w="1260" w:type="dxa"/>
            <w:tcBorders>
              <w:top w:val="nil"/>
              <w:left w:val="nil"/>
              <w:bottom w:val="nil"/>
              <w:right w:val="single" w:sz="8" w:space="0" w:color="auto"/>
            </w:tcBorders>
            <w:shd w:val="clear" w:color="auto" w:fill="auto"/>
            <w:vAlign w:val="center"/>
            <w:hideMark/>
          </w:tcPr>
          <w:p w:rsidR="000A2BA6" w:rsidRPr="00DA23C5" w:rsidRDefault="000A2BA6" w:rsidP="00FC2D62">
            <w:pPr>
              <w:jc w:val="center"/>
              <w:rPr>
                <w:rFonts w:ascii="Verdana" w:hAnsi="Verdana" w:cs="Arial"/>
                <w:sz w:val="18"/>
                <w:szCs w:val="18"/>
              </w:rPr>
            </w:pPr>
            <w:r w:rsidRPr="00DA23C5">
              <w:rPr>
                <w:rFonts w:ascii="Verdana" w:hAnsi="Verdana" w:cs="Arial"/>
                <w:sz w:val="18"/>
                <w:szCs w:val="18"/>
              </w:rPr>
              <w:t>-</w:t>
            </w:r>
            <w:r w:rsidR="00FC2D62" w:rsidRPr="00DA23C5">
              <w:rPr>
                <w:rFonts w:ascii="Verdana" w:hAnsi="Verdana" w:cs="Arial"/>
                <w:sz w:val="18"/>
                <w:szCs w:val="18"/>
              </w:rPr>
              <w:t>5</w:t>
            </w:r>
          </w:p>
        </w:tc>
        <w:tc>
          <w:tcPr>
            <w:tcW w:w="1260" w:type="dxa"/>
            <w:tcBorders>
              <w:top w:val="nil"/>
              <w:left w:val="nil"/>
              <w:bottom w:val="nil"/>
              <w:right w:val="single" w:sz="8" w:space="0" w:color="auto"/>
            </w:tcBorders>
            <w:shd w:val="clear" w:color="auto" w:fill="auto"/>
            <w:vAlign w:val="center"/>
            <w:hideMark/>
          </w:tcPr>
          <w:p w:rsidR="000A2BA6" w:rsidRPr="00DA23C5" w:rsidRDefault="000A2BA6" w:rsidP="00071495">
            <w:pPr>
              <w:jc w:val="center"/>
              <w:rPr>
                <w:rFonts w:ascii="Verdana" w:hAnsi="Verdana" w:cs="Arial"/>
                <w:sz w:val="18"/>
                <w:szCs w:val="18"/>
              </w:rPr>
            </w:pPr>
          </w:p>
        </w:tc>
        <w:tc>
          <w:tcPr>
            <w:tcW w:w="1622" w:type="dxa"/>
            <w:tcBorders>
              <w:top w:val="nil"/>
              <w:left w:val="single" w:sz="4" w:space="0" w:color="auto"/>
              <w:bottom w:val="nil"/>
              <w:right w:val="single" w:sz="4" w:space="0" w:color="auto"/>
            </w:tcBorders>
            <w:shd w:val="clear" w:color="auto" w:fill="auto"/>
            <w:vAlign w:val="center"/>
            <w:hideMark/>
          </w:tcPr>
          <w:p w:rsidR="000A2BA6" w:rsidRPr="00DA23C5" w:rsidRDefault="000A2BA6" w:rsidP="00FC2D62">
            <w:pPr>
              <w:jc w:val="center"/>
              <w:rPr>
                <w:rFonts w:ascii="Verdana" w:hAnsi="Verdana" w:cs="Arial"/>
                <w:sz w:val="18"/>
                <w:szCs w:val="18"/>
              </w:rPr>
            </w:pPr>
            <w:r w:rsidRPr="00DA23C5">
              <w:rPr>
                <w:rFonts w:ascii="Verdana" w:hAnsi="Verdana" w:cs="Arial"/>
                <w:sz w:val="18"/>
                <w:szCs w:val="18"/>
              </w:rPr>
              <w:t>-</w:t>
            </w:r>
            <w:r w:rsidR="00FC2D62" w:rsidRPr="00DA23C5">
              <w:rPr>
                <w:rFonts w:ascii="Verdana" w:hAnsi="Verdana" w:cs="Arial"/>
                <w:sz w:val="18"/>
                <w:szCs w:val="18"/>
              </w:rPr>
              <w:t>5</w:t>
            </w:r>
          </w:p>
        </w:tc>
      </w:tr>
      <w:tr w:rsidR="000A2BA6" w:rsidRPr="00DA23C5" w:rsidTr="00F0423E">
        <w:trPr>
          <w:trHeight w:val="300"/>
        </w:trPr>
        <w:tc>
          <w:tcPr>
            <w:tcW w:w="3261" w:type="dxa"/>
            <w:tcBorders>
              <w:top w:val="nil"/>
              <w:left w:val="single" w:sz="4" w:space="0" w:color="auto"/>
              <w:bottom w:val="nil"/>
              <w:right w:val="single" w:sz="4" w:space="0" w:color="auto"/>
            </w:tcBorders>
            <w:shd w:val="clear" w:color="auto" w:fill="auto"/>
            <w:vAlign w:val="center"/>
            <w:hideMark/>
          </w:tcPr>
          <w:p w:rsidR="000A2BA6" w:rsidRPr="00DA23C5" w:rsidRDefault="000A2BA6" w:rsidP="00071495">
            <w:pPr>
              <w:jc w:val="both"/>
              <w:rPr>
                <w:rFonts w:ascii="Verdana" w:hAnsi="Verdana" w:cs="Arial"/>
                <w:sz w:val="18"/>
                <w:szCs w:val="18"/>
              </w:rPr>
            </w:pPr>
            <w:r w:rsidRPr="00DA23C5">
              <w:rPr>
                <w:rFonts w:ascii="Verdana" w:hAnsi="Verdana" w:cs="Arial"/>
                <w:sz w:val="18"/>
                <w:szCs w:val="18"/>
              </w:rPr>
              <w:t xml:space="preserve"> - Assunti</w:t>
            </w:r>
          </w:p>
        </w:tc>
        <w:tc>
          <w:tcPr>
            <w:tcW w:w="1260" w:type="dxa"/>
            <w:tcBorders>
              <w:top w:val="nil"/>
              <w:left w:val="single" w:sz="4" w:space="0" w:color="auto"/>
              <w:bottom w:val="nil"/>
              <w:right w:val="single" w:sz="8" w:space="0" w:color="auto"/>
            </w:tcBorders>
            <w:shd w:val="clear" w:color="auto" w:fill="auto"/>
            <w:vAlign w:val="center"/>
          </w:tcPr>
          <w:p w:rsidR="000A2BA6" w:rsidRPr="00DA23C5" w:rsidRDefault="000A2BA6" w:rsidP="00071495">
            <w:pPr>
              <w:jc w:val="center"/>
              <w:rPr>
                <w:rFonts w:ascii="Verdana" w:hAnsi="Verdana" w:cs="Arial"/>
                <w:sz w:val="18"/>
                <w:szCs w:val="18"/>
              </w:rPr>
            </w:pPr>
          </w:p>
        </w:tc>
        <w:tc>
          <w:tcPr>
            <w:tcW w:w="1260" w:type="dxa"/>
            <w:tcBorders>
              <w:top w:val="nil"/>
              <w:left w:val="nil"/>
              <w:bottom w:val="nil"/>
              <w:right w:val="single" w:sz="8" w:space="0" w:color="auto"/>
            </w:tcBorders>
            <w:shd w:val="clear" w:color="auto" w:fill="auto"/>
            <w:vAlign w:val="center"/>
          </w:tcPr>
          <w:p w:rsidR="000A2BA6" w:rsidRPr="00DA23C5" w:rsidRDefault="000A2BA6" w:rsidP="00071495">
            <w:pPr>
              <w:jc w:val="center"/>
              <w:rPr>
                <w:rFonts w:ascii="Verdana" w:hAnsi="Verdana" w:cs="Arial"/>
                <w:sz w:val="18"/>
                <w:szCs w:val="18"/>
              </w:rPr>
            </w:pPr>
          </w:p>
        </w:tc>
        <w:tc>
          <w:tcPr>
            <w:tcW w:w="1260" w:type="dxa"/>
            <w:tcBorders>
              <w:top w:val="nil"/>
              <w:left w:val="nil"/>
              <w:bottom w:val="nil"/>
              <w:right w:val="single" w:sz="8" w:space="0" w:color="auto"/>
            </w:tcBorders>
            <w:shd w:val="clear" w:color="auto" w:fill="auto"/>
            <w:vAlign w:val="center"/>
            <w:hideMark/>
          </w:tcPr>
          <w:p w:rsidR="000A2BA6" w:rsidRPr="00DA23C5" w:rsidRDefault="00FC2D62" w:rsidP="00071495">
            <w:pPr>
              <w:jc w:val="center"/>
              <w:rPr>
                <w:rFonts w:ascii="Verdana" w:hAnsi="Verdana" w:cs="Arial"/>
                <w:sz w:val="18"/>
                <w:szCs w:val="18"/>
              </w:rPr>
            </w:pPr>
            <w:r w:rsidRPr="00DA23C5">
              <w:rPr>
                <w:rFonts w:ascii="Verdana" w:hAnsi="Verdana" w:cs="Arial"/>
                <w:sz w:val="18"/>
                <w:szCs w:val="18"/>
              </w:rPr>
              <w:t>+2</w:t>
            </w:r>
            <w:r w:rsidR="0052318B" w:rsidRPr="00DA23C5">
              <w:rPr>
                <w:rFonts w:ascii="Verdana" w:hAnsi="Verdana" w:cs="Arial"/>
                <w:sz w:val="18"/>
                <w:szCs w:val="18"/>
              </w:rPr>
              <w:t>appr</w:t>
            </w:r>
          </w:p>
        </w:tc>
        <w:tc>
          <w:tcPr>
            <w:tcW w:w="1260" w:type="dxa"/>
            <w:tcBorders>
              <w:top w:val="nil"/>
              <w:left w:val="nil"/>
              <w:bottom w:val="nil"/>
              <w:right w:val="single" w:sz="8" w:space="0" w:color="auto"/>
            </w:tcBorders>
            <w:shd w:val="clear" w:color="auto" w:fill="auto"/>
            <w:vAlign w:val="center"/>
            <w:hideMark/>
          </w:tcPr>
          <w:p w:rsidR="000A2BA6" w:rsidRPr="00DA23C5" w:rsidRDefault="00FC2D62" w:rsidP="00071495">
            <w:pPr>
              <w:jc w:val="center"/>
              <w:rPr>
                <w:rFonts w:ascii="Verdana" w:hAnsi="Verdana" w:cs="Arial"/>
                <w:sz w:val="18"/>
                <w:szCs w:val="18"/>
              </w:rPr>
            </w:pPr>
            <w:r w:rsidRPr="00DA23C5">
              <w:rPr>
                <w:rFonts w:ascii="Verdana" w:hAnsi="Verdana" w:cs="Arial"/>
                <w:sz w:val="18"/>
                <w:szCs w:val="18"/>
              </w:rPr>
              <w:t xml:space="preserve">+2 </w:t>
            </w:r>
            <w:proofErr w:type="spellStart"/>
            <w:r w:rsidRPr="00DA23C5">
              <w:rPr>
                <w:rFonts w:ascii="Verdana" w:hAnsi="Verdana" w:cs="Arial"/>
                <w:sz w:val="18"/>
                <w:szCs w:val="18"/>
              </w:rPr>
              <w:t>appr</w:t>
            </w:r>
            <w:proofErr w:type="spellEnd"/>
          </w:p>
        </w:tc>
        <w:tc>
          <w:tcPr>
            <w:tcW w:w="1622" w:type="dxa"/>
            <w:tcBorders>
              <w:top w:val="nil"/>
              <w:left w:val="single" w:sz="4" w:space="0" w:color="auto"/>
              <w:bottom w:val="nil"/>
              <w:right w:val="single" w:sz="4" w:space="0" w:color="auto"/>
            </w:tcBorders>
            <w:shd w:val="clear" w:color="auto" w:fill="auto"/>
            <w:vAlign w:val="center"/>
            <w:hideMark/>
          </w:tcPr>
          <w:p w:rsidR="000A2BA6" w:rsidRPr="00DA23C5" w:rsidRDefault="00FC2D62" w:rsidP="00071495">
            <w:pPr>
              <w:jc w:val="center"/>
              <w:rPr>
                <w:rFonts w:ascii="Verdana" w:hAnsi="Verdana" w:cs="Arial"/>
                <w:sz w:val="18"/>
                <w:szCs w:val="18"/>
              </w:rPr>
            </w:pPr>
            <w:r w:rsidRPr="00DA23C5">
              <w:rPr>
                <w:rFonts w:ascii="Verdana" w:hAnsi="Verdana" w:cs="Arial"/>
                <w:sz w:val="18"/>
                <w:szCs w:val="18"/>
              </w:rPr>
              <w:t>+4</w:t>
            </w:r>
          </w:p>
        </w:tc>
      </w:tr>
      <w:tr w:rsidR="000A2BA6" w:rsidRPr="00DA23C5" w:rsidTr="00660F93">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A2BA6" w:rsidRPr="00DA23C5" w:rsidRDefault="000A2BA6" w:rsidP="00071495">
            <w:pPr>
              <w:jc w:val="both"/>
              <w:rPr>
                <w:rFonts w:ascii="Verdana" w:hAnsi="Verdana" w:cs="Arial"/>
                <w:sz w:val="18"/>
                <w:szCs w:val="18"/>
              </w:rPr>
            </w:pPr>
            <w:r w:rsidRPr="00DA23C5">
              <w:rPr>
                <w:rFonts w:ascii="Verdana" w:hAnsi="Verdana" w:cs="Arial"/>
                <w:sz w:val="18"/>
                <w:szCs w:val="18"/>
              </w:rPr>
              <w:t xml:space="preserve"> - Variazioni di posizione </w:t>
            </w:r>
          </w:p>
        </w:tc>
        <w:tc>
          <w:tcPr>
            <w:tcW w:w="1260" w:type="dxa"/>
            <w:tcBorders>
              <w:top w:val="nil"/>
              <w:left w:val="single" w:sz="4" w:space="0" w:color="auto"/>
              <w:bottom w:val="single" w:sz="4" w:space="0" w:color="auto"/>
              <w:right w:val="single" w:sz="8" w:space="0" w:color="auto"/>
            </w:tcBorders>
            <w:shd w:val="clear" w:color="auto" w:fill="auto"/>
            <w:vAlign w:val="center"/>
            <w:hideMark/>
          </w:tcPr>
          <w:p w:rsidR="000A2BA6" w:rsidRPr="00DA23C5" w:rsidRDefault="000A2BA6" w:rsidP="00071495">
            <w:pPr>
              <w:jc w:val="center"/>
              <w:rPr>
                <w:rFonts w:ascii="Verdana" w:hAnsi="Verdana" w:cs="Arial"/>
                <w:sz w:val="18"/>
                <w:szCs w:val="18"/>
              </w:rPr>
            </w:pPr>
            <w:r w:rsidRPr="00DA23C5">
              <w:rPr>
                <w:rFonts w:ascii="Verdana" w:hAnsi="Verdana" w:cs="Arial"/>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0A2BA6" w:rsidRPr="00DA23C5" w:rsidRDefault="000A2BA6" w:rsidP="00071495">
            <w:pPr>
              <w:jc w:val="center"/>
              <w:rPr>
                <w:rFonts w:ascii="Verdana" w:hAnsi="Verdana" w:cs="Arial"/>
                <w:sz w:val="18"/>
                <w:szCs w:val="18"/>
              </w:rPr>
            </w:pPr>
            <w:r w:rsidRPr="00DA23C5">
              <w:rPr>
                <w:rFonts w:ascii="Verdana" w:hAnsi="Verdana" w:cs="Arial"/>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0A2BA6" w:rsidRPr="00DA23C5" w:rsidRDefault="000A2BA6" w:rsidP="00071495">
            <w:pPr>
              <w:jc w:val="center"/>
              <w:rPr>
                <w:rFonts w:ascii="Verdana" w:hAnsi="Verdana" w:cs="Arial"/>
                <w:sz w:val="18"/>
                <w:szCs w:val="18"/>
              </w:rPr>
            </w:pPr>
            <w:r w:rsidRPr="00DA23C5">
              <w:rPr>
                <w:rFonts w:ascii="Verdana" w:hAnsi="Verdana" w:cs="Arial"/>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rsidR="000A2BA6" w:rsidRPr="00DA23C5" w:rsidRDefault="000A2BA6" w:rsidP="00071495">
            <w:pPr>
              <w:rPr>
                <w:rFonts w:ascii="Verdana" w:hAnsi="Verdana" w:cs="Arial"/>
                <w:sz w:val="18"/>
                <w:szCs w:val="18"/>
              </w:rPr>
            </w:pPr>
            <w:r w:rsidRPr="00DA23C5">
              <w:rPr>
                <w:rFonts w:ascii="Verdana" w:hAnsi="Verdana" w:cs="Arial"/>
                <w:sz w:val="18"/>
                <w:szCs w:val="18"/>
              </w:rPr>
              <w:t> </w:t>
            </w:r>
          </w:p>
        </w:tc>
        <w:tc>
          <w:tcPr>
            <w:tcW w:w="1622" w:type="dxa"/>
            <w:tcBorders>
              <w:top w:val="nil"/>
              <w:left w:val="nil"/>
              <w:bottom w:val="single" w:sz="8" w:space="0" w:color="auto"/>
              <w:right w:val="single" w:sz="8" w:space="0" w:color="auto"/>
            </w:tcBorders>
            <w:shd w:val="clear" w:color="auto" w:fill="auto"/>
            <w:vAlign w:val="center"/>
            <w:hideMark/>
          </w:tcPr>
          <w:p w:rsidR="000A2BA6" w:rsidRPr="00DA23C5" w:rsidRDefault="000A2BA6" w:rsidP="00071495">
            <w:pPr>
              <w:jc w:val="center"/>
              <w:rPr>
                <w:rFonts w:ascii="Verdana" w:hAnsi="Verdana" w:cs="Arial"/>
                <w:sz w:val="18"/>
                <w:szCs w:val="18"/>
              </w:rPr>
            </w:pPr>
            <w:r w:rsidRPr="00DA23C5">
              <w:rPr>
                <w:rFonts w:ascii="Verdana" w:hAnsi="Verdana" w:cs="Arial"/>
                <w:sz w:val="18"/>
                <w:szCs w:val="18"/>
              </w:rPr>
              <w:t> </w:t>
            </w:r>
          </w:p>
        </w:tc>
      </w:tr>
      <w:tr w:rsidR="000A2BA6" w:rsidRPr="00DA23C5" w:rsidTr="00660F93">
        <w:trPr>
          <w:trHeight w:val="315"/>
        </w:trPr>
        <w:tc>
          <w:tcPr>
            <w:tcW w:w="3261"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0A2BA6" w:rsidRPr="00DA23C5" w:rsidRDefault="000A2BA6" w:rsidP="00F0423E">
            <w:pPr>
              <w:rPr>
                <w:rFonts w:ascii="Verdana" w:hAnsi="Verdana" w:cs="Arial"/>
                <w:sz w:val="18"/>
                <w:szCs w:val="18"/>
              </w:rPr>
            </w:pPr>
            <w:r w:rsidRPr="00DA23C5">
              <w:rPr>
                <w:rFonts w:ascii="Verdana" w:hAnsi="Verdana" w:cs="Arial"/>
                <w:sz w:val="18"/>
                <w:szCs w:val="18"/>
              </w:rPr>
              <w:t>Al 31.12.202</w:t>
            </w:r>
            <w:r w:rsidR="00F0423E" w:rsidRPr="00DA23C5">
              <w:rPr>
                <w:rFonts w:ascii="Verdana" w:hAnsi="Verdana" w:cs="Arial"/>
                <w:sz w:val="18"/>
                <w:szCs w:val="18"/>
              </w:rPr>
              <w:t>3</w:t>
            </w:r>
            <w:r w:rsidRPr="00DA23C5">
              <w:rPr>
                <w:rFonts w:ascii="Verdana" w:hAnsi="Verdana" w:cs="Arial"/>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BA6" w:rsidRPr="00DA23C5" w:rsidRDefault="000A2BA6" w:rsidP="00071495">
            <w:pPr>
              <w:jc w:val="center"/>
              <w:rPr>
                <w:rFonts w:ascii="Verdana" w:hAnsi="Verdana" w:cs="Arial"/>
                <w:b/>
                <w:bCs/>
                <w:sz w:val="18"/>
                <w:szCs w:val="18"/>
              </w:rPr>
            </w:pPr>
            <w:r w:rsidRPr="00DA23C5">
              <w:rPr>
                <w:rFonts w:ascii="Verdana" w:hAnsi="Verdana" w:cs="Arial"/>
                <w:b/>
                <w:bCs/>
                <w:sz w:val="18"/>
                <w:szCs w:val="18"/>
              </w:rPr>
              <w:t>4</w:t>
            </w:r>
            <w:r w:rsidR="002E3C1D" w:rsidRPr="00DA23C5">
              <w:rPr>
                <w:rFonts w:ascii="Verdana" w:hAnsi="Verdana" w:cs="Arial"/>
                <w:b/>
                <w:bCs/>
                <w:sz w:val="18"/>
                <w:szCs w:val="18"/>
              </w:rPr>
              <w:t xml:space="preserve"> </w:t>
            </w:r>
            <w:r w:rsidR="002E3C1D" w:rsidRPr="00DA23C5">
              <w:rPr>
                <w:rFonts w:ascii="Verdana" w:hAnsi="Verdana" w:cs="Arial"/>
                <w:bCs/>
                <w:sz w:val="18"/>
                <w:szCs w:val="18"/>
              </w:rPr>
              <w:t>(*)</w:t>
            </w:r>
          </w:p>
        </w:tc>
        <w:tc>
          <w:tcPr>
            <w:tcW w:w="126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0A2BA6" w:rsidRPr="00DA23C5" w:rsidRDefault="000A2BA6" w:rsidP="00071495">
            <w:pPr>
              <w:jc w:val="center"/>
              <w:rPr>
                <w:rFonts w:ascii="Verdana" w:hAnsi="Verdana" w:cs="Arial"/>
                <w:b/>
                <w:bCs/>
                <w:sz w:val="18"/>
                <w:szCs w:val="18"/>
              </w:rPr>
            </w:pPr>
            <w:r w:rsidRPr="00DA23C5">
              <w:rPr>
                <w:rFonts w:ascii="Verdana" w:hAnsi="Verdana" w:cs="Arial"/>
                <w:b/>
                <w:bCs/>
                <w:sz w:val="18"/>
                <w:szCs w:val="18"/>
              </w:rPr>
              <w:t>7</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0A2BA6" w:rsidRPr="00DA23C5" w:rsidRDefault="000A2BA6" w:rsidP="00FC2D62">
            <w:pPr>
              <w:jc w:val="center"/>
              <w:rPr>
                <w:rFonts w:ascii="Verdana" w:hAnsi="Verdana" w:cs="Arial"/>
                <w:b/>
                <w:bCs/>
                <w:sz w:val="18"/>
                <w:szCs w:val="18"/>
              </w:rPr>
            </w:pPr>
            <w:r w:rsidRPr="00DA23C5">
              <w:rPr>
                <w:rFonts w:ascii="Verdana" w:hAnsi="Verdana" w:cs="Arial"/>
                <w:b/>
                <w:bCs/>
                <w:sz w:val="18"/>
                <w:szCs w:val="18"/>
              </w:rPr>
              <w:t>8</w:t>
            </w:r>
            <w:r w:rsidR="00FC2D62" w:rsidRPr="00DA23C5">
              <w:rPr>
                <w:rFonts w:ascii="Verdana" w:hAnsi="Verdana" w:cs="Arial"/>
                <w:b/>
                <w:bCs/>
                <w:sz w:val="18"/>
                <w:szCs w:val="18"/>
              </w:rPr>
              <w:t>8</w:t>
            </w:r>
            <w:r w:rsidR="002E3C1D" w:rsidRPr="00DA23C5">
              <w:rPr>
                <w:rFonts w:ascii="Verdana" w:hAnsi="Verdana" w:cs="Arial"/>
                <w:b/>
                <w:bCs/>
                <w:sz w:val="18"/>
                <w:szCs w:val="18"/>
              </w:rPr>
              <w:t xml:space="preserve"> </w:t>
            </w:r>
            <w:r w:rsidR="002E3C1D" w:rsidRPr="00DA23C5">
              <w:rPr>
                <w:rFonts w:ascii="Verdana" w:hAnsi="Verdana" w:cs="Arial"/>
                <w:bCs/>
                <w:sz w:val="18"/>
                <w:szCs w:val="18"/>
              </w:rPr>
              <w:t>(**)</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0A2BA6" w:rsidRPr="00DA23C5" w:rsidRDefault="00D854AE" w:rsidP="00071495">
            <w:pPr>
              <w:jc w:val="center"/>
              <w:rPr>
                <w:rFonts w:ascii="Verdana" w:hAnsi="Verdana" w:cs="Arial"/>
                <w:b/>
                <w:bCs/>
                <w:sz w:val="18"/>
                <w:szCs w:val="18"/>
              </w:rPr>
            </w:pPr>
            <w:r w:rsidRPr="00DA23C5">
              <w:rPr>
                <w:rFonts w:ascii="Verdana" w:hAnsi="Verdana" w:cs="Arial"/>
                <w:b/>
                <w:bCs/>
                <w:sz w:val="18"/>
                <w:szCs w:val="18"/>
              </w:rPr>
              <w:t>61</w:t>
            </w:r>
            <w:r w:rsidR="002E3C1D" w:rsidRPr="00DA23C5">
              <w:rPr>
                <w:rFonts w:ascii="Verdana" w:hAnsi="Verdana" w:cs="Arial"/>
                <w:bCs/>
                <w:sz w:val="18"/>
                <w:szCs w:val="18"/>
              </w:rPr>
              <w:t>(**)</w:t>
            </w:r>
          </w:p>
        </w:tc>
        <w:tc>
          <w:tcPr>
            <w:tcW w:w="1622" w:type="dxa"/>
            <w:tcBorders>
              <w:top w:val="single" w:sz="8" w:space="0" w:color="auto"/>
              <w:left w:val="nil"/>
              <w:bottom w:val="single" w:sz="4" w:space="0" w:color="auto"/>
              <w:right w:val="single" w:sz="8" w:space="0" w:color="auto"/>
            </w:tcBorders>
            <w:shd w:val="clear" w:color="auto" w:fill="auto"/>
            <w:vAlign w:val="center"/>
            <w:hideMark/>
          </w:tcPr>
          <w:p w:rsidR="000A2BA6" w:rsidRPr="00DA23C5" w:rsidRDefault="000A2BA6" w:rsidP="00FC2D62">
            <w:pPr>
              <w:jc w:val="center"/>
              <w:rPr>
                <w:rFonts w:ascii="Verdana" w:hAnsi="Verdana" w:cs="Arial"/>
                <w:b/>
                <w:bCs/>
                <w:sz w:val="18"/>
                <w:szCs w:val="18"/>
              </w:rPr>
            </w:pPr>
            <w:r w:rsidRPr="00DA23C5">
              <w:rPr>
                <w:rFonts w:ascii="Verdana" w:hAnsi="Verdana" w:cs="Arial"/>
                <w:b/>
                <w:bCs/>
                <w:sz w:val="18"/>
                <w:szCs w:val="18"/>
              </w:rPr>
              <w:t>16</w:t>
            </w:r>
            <w:r w:rsidR="00FC2D62" w:rsidRPr="00DA23C5">
              <w:rPr>
                <w:rFonts w:ascii="Verdana" w:hAnsi="Verdana" w:cs="Arial"/>
                <w:b/>
                <w:bCs/>
                <w:sz w:val="18"/>
                <w:szCs w:val="18"/>
              </w:rPr>
              <w:t>0</w:t>
            </w:r>
          </w:p>
        </w:tc>
      </w:tr>
    </w:tbl>
    <w:p w:rsidR="002E3C1D" w:rsidRPr="00DA23C5" w:rsidRDefault="000A2BA6" w:rsidP="00071495">
      <w:pPr>
        <w:jc w:val="both"/>
        <w:rPr>
          <w:rFonts w:ascii="Verdana" w:eastAsia="Calibri" w:hAnsi="Verdana"/>
          <w:sz w:val="18"/>
          <w:szCs w:val="18"/>
          <w:lang w:eastAsia="en-US"/>
        </w:rPr>
      </w:pPr>
      <w:r w:rsidRPr="00DA23C5">
        <w:rPr>
          <w:rFonts w:ascii="Verdana" w:eastAsia="Calibri" w:hAnsi="Verdana"/>
          <w:sz w:val="18"/>
          <w:szCs w:val="18"/>
          <w:lang w:eastAsia="en-US"/>
        </w:rPr>
        <w:t xml:space="preserve">(*) di cui a tempo determinato n. </w:t>
      </w:r>
      <w:r w:rsidR="00FC2D62" w:rsidRPr="00DA23C5">
        <w:rPr>
          <w:rFonts w:ascii="Verdana" w:eastAsia="Calibri" w:hAnsi="Verdana"/>
          <w:sz w:val="18"/>
          <w:szCs w:val="18"/>
          <w:lang w:eastAsia="en-US"/>
        </w:rPr>
        <w:t>2</w:t>
      </w:r>
      <w:r w:rsidRPr="00DA23C5">
        <w:rPr>
          <w:rFonts w:ascii="Verdana" w:eastAsia="Calibri" w:hAnsi="Verdana"/>
          <w:sz w:val="18"/>
          <w:szCs w:val="18"/>
          <w:lang w:eastAsia="en-US"/>
        </w:rPr>
        <w:t xml:space="preserve"> (DG la cui scadenza è il 31/12/2025</w:t>
      </w:r>
      <w:r w:rsidR="00FC2D62" w:rsidRPr="00DA23C5">
        <w:rPr>
          <w:rFonts w:ascii="Verdana" w:eastAsia="Calibri" w:hAnsi="Verdana"/>
          <w:sz w:val="18"/>
          <w:szCs w:val="18"/>
          <w:lang w:eastAsia="en-US"/>
        </w:rPr>
        <w:t xml:space="preserve"> e tecnico di laboratorio per sostituzione maternità con scadenza 2023</w:t>
      </w:r>
      <w:r w:rsidRPr="00DA23C5">
        <w:rPr>
          <w:rFonts w:ascii="Verdana" w:eastAsia="Calibri" w:hAnsi="Verdana"/>
          <w:sz w:val="18"/>
          <w:szCs w:val="18"/>
          <w:lang w:eastAsia="en-US"/>
        </w:rPr>
        <w:t xml:space="preserve">). </w:t>
      </w:r>
    </w:p>
    <w:p w:rsidR="000A2BA6" w:rsidRPr="00DA23C5" w:rsidRDefault="002E3C1D" w:rsidP="00071495">
      <w:pPr>
        <w:jc w:val="both"/>
        <w:rPr>
          <w:rFonts w:ascii="Verdana" w:eastAsia="Calibri" w:hAnsi="Verdana"/>
          <w:sz w:val="18"/>
          <w:szCs w:val="18"/>
          <w:lang w:eastAsia="en-US"/>
        </w:rPr>
      </w:pPr>
      <w:r w:rsidRPr="00DA23C5">
        <w:rPr>
          <w:rFonts w:ascii="Verdana" w:eastAsia="Calibri" w:hAnsi="Verdana"/>
          <w:sz w:val="18"/>
          <w:szCs w:val="18"/>
          <w:lang w:eastAsia="en-US"/>
        </w:rPr>
        <w:t>(*</w:t>
      </w:r>
      <w:proofErr w:type="gramStart"/>
      <w:r w:rsidRPr="00DA23C5">
        <w:rPr>
          <w:rFonts w:ascii="Verdana" w:eastAsia="Calibri" w:hAnsi="Verdana"/>
          <w:sz w:val="18"/>
          <w:szCs w:val="18"/>
          <w:lang w:eastAsia="en-US"/>
        </w:rPr>
        <w:t>*)</w:t>
      </w:r>
      <w:r w:rsidR="000A2BA6" w:rsidRPr="00DA23C5">
        <w:rPr>
          <w:rFonts w:ascii="Verdana" w:eastAsia="Calibri" w:hAnsi="Verdana"/>
          <w:sz w:val="18"/>
          <w:szCs w:val="18"/>
          <w:lang w:eastAsia="en-US"/>
        </w:rPr>
        <w:t>Al</w:t>
      </w:r>
      <w:proofErr w:type="gramEnd"/>
      <w:r w:rsidR="000A2BA6" w:rsidRPr="00DA23C5">
        <w:rPr>
          <w:rFonts w:ascii="Verdana" w:eastAsia="Calibri" w:hAnsi="Verdana"/>
          <w:sz w:val="18"/>
          <w:szCs w:val="18"/>
          <w:lang w:eastAsia="en-US"/>
        </w:rPr>
        <w:t xml:space="preserve"> 31/12/202</w:t>
      </w:r>
      <w:r w:rsidR="00FC2D62" w:rsidRPr="00DA23C5">
        <w:rPr>
          <w:rFonts w:ascii="Verdana" w:eastAsia="Calibri" w:hAnsi="Verdana"/>
          <w:sz w:val="18"/>
          <w:szCs w:val="18"/>
          <w:lang w:eastAsia="en-US"/>
        </w:rPr>
        <w:t>3</w:t>
      </w:r>
      <w:r w:rsidR="000A2BA6" w:rsidRPr="00DA23C5">
        <w:rPr>
          <w:rFonts w:ascii="Verdana" w:eastAsia="Calibri" w:hAnsi="Verdana"/>
          <w:sz w:val="18"/>
          <w:szCs w:val="18"/>
          <w:lang w:eastAsia="en-US"/>
        </w:rPr>
        <w:t xml:space="preserve"> risultano attivi n</w:t>
      </w:r>
      <w:r w:rsidR="00052418" w:rsidRPr="00DA23C5">
        <w:rPr>
          <w:rFonts w:ascii="Verdana" w:eastAsia="Calibri" w:hAnsi="Verdana"/>
          <w:sz w:val="18"/>
          <w:szCs w:val="18"/>
          <w:lang w:eastAsia="en-US"/>
        </w:rPr>
        <w:t>.8</w:t>
      </w:r>
      <w:r w:rsidR="000A2BA6" w:rsidRPr="00DA23C5">
        <w:rPr>
          <w:rFonts w:ascii="Verdana" w:eastAsia="Calibri" w:hAnsi="Verdana"/>
          <w:sz w:val="18"/>
          <w:szCs w:val="18"/>
          <w:lang w:eastAsia="en-US"/>
        </w:rPr>
        <w:t xml:space="preserve"> contratti di apprendistato, di cui n. </w:t>
      </w:r>
      <w:r w:rsidR="00FC2D62" w:rsidRPr="00DA23C5">
        <w:rPr>
          <w:rFonts w:ascii="Verdana" w:eastAsia="Calibri" w:hAnsi="Verdana"/>
          <w:sz w:val="18"/>
          <w:szCs w:val="18"/>
          <w:lang w:eastAsia="en-US"/>
        </w:rPr>
        <w:t>2</w:t>
      </w:r>
      <w:r w:rsidR="000A2BA6" w:rsidRPr="00DA23C5">
        <w:rPr>
          <w:rFonts w:ascii="Verdana" w:eastAsia="Calibri" w:hAnsi="Verdana"/>
          <w:sz w:val="18"/>
          <w:szCs w:val="18"/>
          <w:lang w:eastAsia="en-US"/>
        </w:rPr>
        <w:t xml:space="preserve"> con qualifica di operai e n. </w:t>
      </w:r>
      <w:r w:rsidR="00052418" w:rsidRPr="00DA23C5">
        <w:rPr>
          <w:rFonts w:ascii="Verdana" w:eastAsia="Calibri" w:hAnsi="Verdana"/>
          <w:sz w:val="18"/>
          <w:szCs w:val="18"/>
          <w:lang w:eastAsia="en-US"/>
        </w:rPr>
        <w:t>6</w:t>
      </w:r>
      <w:r w:rsidR="000A2BA6" w:rsidRPr="00DA23C5">
        <w:rPr>
          <w:rFonts w:ascii="Verdana" w:eastAsia="Calibri" w:hAnsi="Verdana"/>
          <w:sz w:val="18"/>
          <w:szCs w:val="18"/>
          <w:lang w:eastAsia="en-US"/>
        </w:rPr>
        <w:t xml:space="preserve"> con qualifica di impiegati.</w:t>
      </w:r>
    </w:p>
    <w:p w:rsidR="003110FF" w:rsidRPr="00DA23C5" w:rsidRDefault="00FC2D62" w:rsidP="00071495">
      <w:pPr>
        <w:jc w:val="both"/>
        <w:rPr>
          <w:rFonts w:ascii="Verdana" w:eastAsia="Calibri" w:hAnsi="Verdana"/>
          <w:sz w:val="18"/>
          <w:szCs w:val="18"/>
          <w:lang w:eastAsia="en-US"/>
        </w:rPr>
      </w:pPr>
      <w:r w:rsidRPr="00DA23C5">
        <w:rPr>
          <w:rFonts w:ascii="Verdana" w:eastAsia="Calibri" w:hAnsi="Verdana"/>
          <w:sz w:val="18"/>
          <w:szCs w:val="18"/>
          <w:lang w:eastAsia="en-US"/>
        </w:rPr>
        <w:t>Le previsioni di</w:t>
      </w:r>
      <w:r w:rsidR="000A2BA6" w:rsidRPr="00DA23C5">
        <w:rPr>
          <w:rFonts w:ascii="Verdana" w:eastAsia="Calibri" w:hAnsi="Verdana"/>
          <w:sz w:val="18"/>
          <w:szCs w:val="18"/>
          <w:lang w:eastAsia="en-US"/>
        </w:rPr>
        <w:t xml:space="preserve"> turn over </w:t>
      </w:r>
      <w:r w:rsidRPr="00DA23C5">
        <w:rPr>
          <w:rFonts w:ascii="Verdana" w:eastAsia="Calibri" w:hAnsi="Verdana"/>
          <w:sz w:val="18"/>
          <w:szCs w:val="18"/>
          <w:lang w:eastAsia="en-US"/>
        </w:rPr>
        <w:t xml:space="preserve">2023 sono state sviluppate </w:t>
      </w:r>
      <w:r w:rsidR="000A2BA6" w:rsidRPr="00DA23C5">
        <w:rPr>
          <w:rFonts w:ascii="Verdana" w:eastAsia="Calibri" w:hAnsi="Verdana"/>
          <w:sz w:val="18"/>
          <w:szCs w:val="18"/>
          <w:lang w:eastAsia="en-US"/>
        </w:rPr>
        <w:t>sulla base delle informazioni ad oggi disponibili in partic</w:t>
      </w:r>
      <w:r w:rsidR="002E3C1D" w:rsidRPr="00DA23C5">
        <w:rPr>
          <w:rFonts w:ascii="Verdana" w:eastAsia="Calibri" w:hAnsi="Verdana"/>
          <w:sz w:val="18"/>
          <w:szCs w:val="18"/>
          <w:lang w:eastAsia="en-US"/>
        </w:rPr>
        <w:t>olare in materia pensionistica</w:t>
      </w:r>
      <w:r w:rsidRPr="00DA23C5">
        <w:rPr>
          <w:rFonts w:ascii="Verdana" w:eastAsia="Calibri" w:hAnsi="Verdana"/>
          <w:sz w:val="18"/>
          <w:szCs w:val="18"/>
          <w:lang w:eastAsia="en-US"/>
        </w:rPr>
        <w:t xml:space="preserve">; come noto trattasi di materia in continua evoluzione che nel 2023 dovrebbe subire significativi assestamenti, in sede di </w:t>
      </w:r>
      <w:proofErr w:type="spellStart"/>
      <w:r w:rsidRPr="00DA23C5">
        <w:rPr>
          <w:rFonts w:ascii="Verdana" w:eastAsia="Calibri" w:hAnsi="Verdana"/>
          <w:sz w:val="18"/>
          <w:szCs w:val="18"/>
          <w:lang w:eastAsia="en-US"/>
        </w:rPr>
        <w:t>bdg</w:t>
      </w:r>
      <w:proofErr w:type="spellEnd"/>
      <w:r w:rsidRPr="00DA23C5">
        <w:rPr>
          <w:rFonts w:ascii="Verdana" w:eastAsia="Calibri" w:hAnsi="Verdana"/>
          <w:sz w:val="18"/>
          <w:szCs w:val="18"/>
          <w:lang w:eastAsia="en-US"/>
        </w:rPr>
        <w:t xml:space="preserve"> 2024 si effettuerà un puntuale aggiornamento delle previsioni di turn over alla luce delle modifiche nel frattempo intervenute nel contesto normativo</w:t>
      </w:r>
      <w:r w:rsidR="003110FF" w:rsidRPr="00DA23C5">
        <w:rPr>
          <w:rFonts w:ascii="Verdana" w:eastAsia="Calibri" w:hAnsi="Verdana"/>
          <w:sz w:val="18"/>
          <w:szCs w:val="18"/>
          <w:lang w:eastAsia="en-US"/>
        </w:rPr>
        <w:t xml:space="preserve"> anticipando fin d’ora che </w:t>
      </w:r>
      <w:r w:rsidR="00EB07C8" w:rsidRPr="00DA23C5">
        <w:rPr>
          <w:rFonts w:ascii="Verdana" w:eastAsia="Calibri" w:hAnsi="Verdana"/>
          <w:sz w:val="18"/>
          <w:szCs w:val="18"/>
          <w:u w:val="single"/>
          <w:lang w:eastAsia="en-US"/>
        </w:rPr>
        <w:t>il biennio 2024-2025 potrebbe</w:t>
      </w:r>
      <w:r w:rsidR="003110FF" w:rsidRPr="00DA23C5">
        <w:rPr>
          <w:rFonts w:ascii="Verdana" w:eastAsia="Calibri" w:hAnsi="Verdana"/>
          <w:sz w:val="18"/>
          <w:szCs w:val="18"/>
          <w:u w:val="single"/>
          <w:lang w:eastAsia="en-US"/>
        </w:rPr>
        <w:t xml:space="preserve"> comunque</w:t>
      </w:r>
      <w:r w:rsidR="00EB07C8" w:rsidRPr="00DA23C5">
        <w:rPr>
          <w:rFonts w:ascii="Verdana" w:eastAsia="Calibri" w:hAnsi="Verdana"/>
          <w:sz w:val="18"/>
          <w:szCs w:val="18"/>
          <w:u w:val="single"/>
          <w:lang w:eastAsia="en-US"/>
        </w:rPr>
        <w:t xml:space="preserve"> essere</w:t>
      </w:r>
      <w:r w:rsidR="003110FF" w:rsidRPr="00DA23C5">
        <w:rPr>
          <w:rFonts w:ascii="Verdana" w:eastAsia="Calibri" w:hAnsi="Verdana"/>
          <w:sz w:val="18"/>
          <w:szCs w:val="18"/>
          <w:u w:val="single"/>
          <w:lang w:eastAsia="en-US"/>
        </w:rPr>
        <w:t xml:space="preserve"> </w:t>
      </w:r>
      <w:r w:rsidR="00EB07C8" w:rsidRPr="00DA23C5">
        <w:rPr>
          <w:rFonts w:ascii="Verdana" w:eastAsia="Calibri" w:hAnsi="Verdana"/>
          <w:sz w:val="18"/>
          <w:szCs w:val="18"/>
          <w:u w:val="single"/>
          <w:lang w:eastAsia="en-US"/>
        </w:rPr>
        <w:t>interessato</w:t>
      </w:r>
      <w:r w:rsidR="003110FF" w:rsidRPr="00DA23C5">
        <w:rPr>
          <w:rFonts w:ascii="Verdana" w:eastAsia="Calibri" w:hAnsi="Verdana"/>
          <w:sz w:val="18"/>
          <w:szCs w:val="18"/>
          <w:u w:val="single"/>
          <w:lang w:eastAsia="en-US"/>
        </w:rPr>
        <w:t xml:space="preserve"> dall’uscita </w:t>
      </w:r>
      <w:r w:rsidR="00EB07C8" w:rsidRPr="00DA23C5">
        <w:rPr>
          <w:rFonts w:ascii="Verdana" w:eastAsia="Calibri" w:hAnsi="Verdana"/>
          <w:sz w:val="18"/>
          <w:szCs w:val="18"/>
          <w:u w:val="single"/>
          <w:lang w:eastAsia="en-US"/>
        </w:rPr>
        <w:t>di circa n.12 dipendenti</w:t>
      </w:r>
      <w:r w:rsidR="00740782" w:rsidRPr="00DA23C5">
        <w:rPr>
          <w:rFonts w:ascii="Verdana" w:eastAsia="Calibri" w:hAnsi="Verdana"/>
          <w:sz w:val="18"/>
          <w:szCs w:val="18"/>
          <w:u w:val="single"/>
          <w:lang w:eastAsia="en-US"/>
        </w:rPr>
        <w:t>,</w:t>
      </w:r>
      <w:r w:rsidR="00EB07C8" w:rsidRPr="00DA23C5">
        <w:rPr>
          <w:rFonts w:ascii="Verdana" w:eastAsia="Calibri" w:hAnsi="Verdana"/>
          <w:sz w:val="18"/>
          <w:szCs w:val="18"/>
          <w:lang w:eastAsia="en-US"/>
        </w:rPr>
        <w:t xml:space="preserve"> fra cui, in termini significativi, anche figure che ricoprono funzioni apicali (dirigenti e quadri)</w:t>
      </w:r>
      <w:r w:rsidR="00740782" w:rsidRPr="00DA23C5">
        <w:rPr>
          <w:rFonts w:ascii="Verdana" w:eastAsia="Calibri" w:hAnsi="Verdana"/>
          <w:sz w:val="18"/>
          <w:szCs w:val="18"/>
          <w:lang w:eastAsia="en-US"/>
        </w:rPr>
        <w:t xml:space="preserve">. </w:t>
      </w:r>
      <w:r w:rsidR="00EB07C8" w:rsidRPr="00DA23C5">
        <w:rPr>
          <w:rFonts w:ascii="Verdana" w:eastAsia="Calibri" w:hAnsi="Verdana"/>
          <w:sz w:val="18"/>
          <w:szCs w:val="18"/>
          <w:lang w:eastAsia="en-US"/>
        </w:rPr>
        <w:t xml:space="preserve"> </w:t>
      </w:r>
      <w:r w:rsidR="00740782" w:rsidRPr="00DA23C5">
        <w:rPr>
          <w:rFonts w:ascii="Verdana" w:eastAsia="Calibri" w:hAnsi="Verdana"/>
          <w:sz w:val="18"/>
          <w:szCs w:val="18"/>
          <w:lang w:eastAsia="en-US"/>
        </w:rPr>
        <w:t>L’uscita nel triennio 2023-2025 di circa l’11% del personale in forza a fine 2022 rappresenta</w:t>
      </w:r>
      <w:r w:rsidR="00EB07C8" w:rsidRPr="00DA23C5">
        <w:rPr>
          <w:rFonts w:ascii="Verdana" w:eastAsia="Calibri" w:hAnsi="Verdana"/>
          <w:sz w:val="18"/>
          <w:szCs w:val="18"/>
          <w:lang w:eastAsia="en-US"/>
        </w:rPr>
        <w:t xml:space="preserve"> un passaggio </w:t>
      </w:r>
      <w:r w:rsidR="00740782" w:rsidRPr="00DA23C5">
        <w:rPr>
          <w:rFonts w:ascii="Verdana" w:eastAsia="Calibri" w:hAnsi="Verdana"/>
          <w:sz w:val="18"/>
          <w:szCs w:val="18"/>
          <w:lang w:eastAsia="en-US"/>
        </w:rPr>
        <w:t xml:space="preserve">generazionale particolarmente </w:t>
      </w:r>
      <w:r w:rsidR="00EB07C8" w:rsidRPr="00DA23C5">
        <w:rPr>
          <w:rFonts w:ascii="Verdana" w:eastAsia="Calibri" w:hAnsi="Verdana"/>
          <w:sz w:val="18"/>
          <w:szCs w:val="18"/>
          <w:lang w:eastAsia="en-US"/>
        </w:rPr>
        <w:t xml:space="preserve">importante </w:t>
      </w:r>
      <w:r w:rsidR="00740782" w:rsidRPr="00DA23C5">
        <w:rPr>
          <w:rFonts w:ascii="Verdana" w:eastAsia="Calibri" w:hAnsi="Verdana"/>
          <w:sz w:val="18"/>
          <w:szCs w:val="18"/>
          <w:lang w:eastAsia="en-US"/>
        </w:rPr>
        <w:t>per la società</w:t>
      </w:r>
      <w:r w:rsidR="0058218E" w:rsidRPr="00DA23C5">
        <w:rPr>
          <w:rFonts w:ascii="Verdana" w:eastAsia="Calibri" w:hAnsi="Verdana"/>
          <w:sz w:val="18"/>
          <w:szCs w:val="18"/>
          <w:lang w:eastAsia="en-US"/>
        </w:rPr>
        <w:t xml:space="preserve">, transizione </w:t>
      </w:r>
      <w:r w:rsidR="00740782" w:rsidRPr="00DA23C5">
        <w:rPr>
          <w:rFonts w:ascii="Verdana" w:eastAsia="Calibri" w:hAnsi="Verdana"/>
          <w:sz w:val="18"/>
          <w:szCs w:val="18"/>
          <w:lang w:eastAsia="en-US"/>
        </w:rPr>
        <w:t>che dovrà essere affront</w:t>
      </w:r>
      <w:r w:rsidR="0058218E" w:rsidRPr="00DA23C5">
        <w:rPr>
          <w:rFonts w:ascii="Verdana" w:eastAsia="Calibri" w:hAnsi="Verdana"/>
          <w:sz w:val="18"/>
          <w:szCs w:val="18"/>
          <w:lang w:eastAsia="en-US"/>
        </w:rPr>
        <w:t>ata</w:t>
      </w:r>
      <w:r w:rsidR="00740782" w:rsidRPr="00DA23C5">
        <w:rPr>
          <w:rFonts w:ascii="Verdana" w:eastAsia="Calibri" w:hAnsi="Verdana"/>
          <w:sz w:val="18"/>
          <w:szCs w:val="18"/>
          <w:lang w:eastAsia="en-US"/>
        </w:rPr>
        <w:t xml:space="preserve"> con competenza e lungimiranza </w:t>
      </w:r>
      <w:r w:rsidR="0058218E" w:rsidRPr="00DA23C5">
        <w:rPr>
          <w:rFonts w:ascii="Verdana" w:eastAsia="Calibri" w:hAnsi="Verdana"/>
          <w:sz w:val="18"/>
          <w:szCs w:val="18"/>
          <w:lang w:eastAsia="en-US"/>
        </w:rPr>
        <w:t>partendo da un’analisi “</w:t>
      </w:r>
      <w:proofErr w:type="spellStart"/>
      <w:r w:rsidR="0058218E" w:rsidRPr="00DA23C5">
        <w:rPr>
          <w:rFonts w:ascii="Verdana" w:eastAsia="Calibri" w:hAnsi="Verdana"/>
          <w:sz w:val="18"/>
          <w:szCs w:val="18"/>
          <w:lang w:eastAsia="en-US"/>
        </w:rPr>
        <w:t>as</w:t>
      </w:r>
      <w:proofErr w:type="spellEnd"/>
      <w:r w:rsidR="0058218E" w:rsidRPr="00DA23C5">
        <w:rPr>
          <w:rFonts w:ascii="Verdana" w:eastAsia="Calibri" w:hAnsi="Verdana"/>
          <w:sz w:val="18"/>
          <w:szCs w:val="18"/>
          <w:lang w:eastAsia="en-US"/>
        </w:rPr>
        <w:t xml:space="preserve"> </w:t>
      </w:r>
      <w:proofErr w:type="spellStart"/>
      <w:r w:rsidR="0058218E" w:rsidRPr="00DA23C5">
        <w:rPr>
          <w:rFonts w:ascii="Verdana" w:eastAsia="Calibri" w:hAnsi="Verdana"/>
          <w:sz w:val="18"/>
          <w:szCs w:val="18"/>
          <w:lang w:eastAsia="en-US"/>
        </w:rPr>
        <w:t>is</w:t>
      </w:r>
      <w:proofErr w:type="spellEnd"/>
      <w:r w:rsidR="0058218E" w:rsidRPr="00DA23C5">
        <w:rPr>
          <w:rFonts w:ascii="Verdana" w:eastAsia="Calibri" w:hAnsi="Verdana"/>
          <w:sz w:val="18"/>
          <w:szCs w:val="18"/>
          <w:lang w:eastAsia="en-US"/>
        </w:rPr>
        <w:t xml:space="preserve">“ </w:t>
      </w:r>
      <w:r w:rsidR="00133106" w:rsidRPr="00DA23C5">
        <w:rPr>
          <w:rFonts w:ascii="Verdana" w:eastAsia="Calibri" w:hAnsi="Verdana"/>
          <w:sz w:val="18"/>
          <w:szCs w:val="18"/>
          <w:lang w:eastAsia="en-US"/>
        </w:rPr>
        <w:t>fino all’individuazione</w:t>
      </w:r>
      <w:r w:rsidR="0058218E" w:rsidRPr="00DA23C5">
        <w:rPr>
          <w:rFonts w:ascii="Verdana" w:eastAsia="Calibri" w:hAnsi="Verdana"/>
          <w:sz w:val="18"/>
          <w:szCs w:val="18"/>
          <w:lang w:eastAsia="en-US"/>
        </w:rPr>
        <w:t xml:space="preserve"> di </w:t>
      </w:r>
      <w:r w:rsidR="00740782" w:rsidRPr="00DA23C5">
        <w:rPr>
          <w:rFonts w:ascii="Verdana" w:eastAsia="Calibri" w:hAnsi="Verdana"/>
          <w:sz w:val="18"/>
          <w:szCs w:val="18"/>
          <w:lang w:eastAsia="en-US"/>
        </w:rPr>
        <w:t xml:space="preserve">aggiornamento del modello organizzativo </w:t>
      </w:r>
      <w:r w:rsidR="00133106" w:rsidRPr="00DA23C5">
        <w:rPr>
          <w:rFonts w:ascii="Verdana" w:eastAsia="Calibri" w:hAnsi="Verdana"/>
          <w:sz w:val="18"/>
          <w:szCs w:val="18"/>
          <w:lang w:eastAsia="en-US"/>
        </w:rPr>
        <w:t>con</w:t>
      </w:r>
      <w:r w:rsidR="0058218E" w:rsidRPr="00DA23C5">
        <w:rPr>
          <w:rFonts w:ascii="Verdana" w:eastAsia="Calibri" w:hAnsi="Verdana"/>
          <w:sz w:val="18"/>
          <w:szCs w:val="18"/>
          <w:lang w:eastAsia="en-US"/>
        </w:rPr>
        <w:t xml:space="preserve"> la messa a fuoco degli interventi necessari a dare risposta alle </w:t>
      </w:r>
      <w:r w:rsidR="00133106" w:rsidRPr="00DA23C5">
        <w:rPr>
          <w:rFonts w:ascii="Verdana" w:eastAsia="Calibri" w:hAnsi="Verdana"/>
          <w:sz w:val="18"/>
          <w:szCs w:val="18"/>
          <w:lang w:eastAsia="en-US"/>
        </w:rPr>
        <w:t xml:space="preserve">sfide </w:t>
      </w:r>
      <w:r w:rsidR="0058218E" w:rsidRPr="00DA23C5">
        <w:rPr>
          <w:rFonts w:ascii="Verdana" w:eastAsia="Calibri" w:hAnsi="Verdana"/>
          <w:sz w:val="18"/>
          <w:szCs w:val="18"/>
          <w:lang w:eastAsia="en-US"/>
        </w:rPr>
        <w:t xml:space="preserve">di un mercato complesso e sempre più strutturato su </w:t>
      </w:r>
      <w:proofErr w:type="spellStart"/>
      <w:r w:rsidR="0058218E" w:rsidRPr="00DA23C5">
        <w:rPr>
          <w:rFonts w:ascii="Verdana" w:eastAsia="Calibri" w:hAnsi="Verdana"/>
          <w:i/>
          <w:sz w:val="18"/>
          <w:szCs w:val="18"/>
          <w:lang w:eastAsia="en-US"/>
        </w:rPr>
        <w:t>players</w:t>
      </w:r>
      <w:proofErr w:type="spellEnd"/>
      <w:r w:rsidR="0058218E" w:rsidRPr="00DA23C5">
        <w:rPr>
          <w:rFonts w:ascii="Verdana" w:eastAsia="Calibri" w:hAnsi="Verdana"/>
          <w:sz w:val="18"/>
          <w:szCs w:val="18"/>
          <w:lang w:eastAsia="en-US"/>
        </w:rPr>
        <w:t xml:space="preserve"> di elevata struttura</w:t>
      </w:r>
      <w:r w:rsidR="00133106" w:rsidRPr="00DA23C5">
        <w:rPr>
          <w:rFonts w:ascii="Verdana" w:eastAsia="Calibri" w:hAnsi="Verdana"/>
          <w:sz w:val="18"/>
          <w:szCs w:val="18"/>
          <w:lang w:eastAsia="en-US"/>
        </w:rPr>
        <w:t>; un’efficace gestione del</w:t>
      </w:r>
      <w:r w:rsidR="0058218E" w:rsidRPr="00DA23C5">
        <w:rPr>
          <w:rFonts w:ascii="Verdana" w:eastAsia="Calibri" w:hAnsi="Verdana"/>
          <w:sz w:val="18"/>
          <w:szCs w:val="18"/>
          <w:lang w:eastAsia="en-US"/>
        </w:rPr>
        <w:t xml:space="preserve"> personale</w:t>
      </w:r>
      <w:r w:rsidR="00740782" w:rsidRPr="00DA23C5">
        <w:rPr>
          <w:rFonts w:ascii="Verdana" w:eastAsia="Calibri" w:hAnsi="Verdana"/>
          <w:sz w:val="18"/>
          <w:szCs w:val="18"/>
          <w:lang w:eastAsia="en-US"/>
        </w:rPr>
        <w:t xml:space="preserve"> </w:t>
      </w:r>
      <w:r w:rsidR="00133106" w:rsidRPr="00DA23C5">
        <w:rPr>
          <w:rFonts w:ascii="Verdana" w:eastAsia="Calibri" w:hAnsi="Verdana"/>
          <w:sz w:val="18"/>
          <w:szCs w:val="18"/>
          <w:lang w:eastAsia="en-US"/>
        </w:rPr>
        <w:t xml:space="preserve">è strumento imprescindibile </w:t>
      </w:r>
      <w:proofErr w:type="spellStart"/>
      <w:r w:rsidR="00133106" w:rsidRPr="00DA23C5">
        <w:rPr>
          <w:rFonts w:ascii="Verdana" w:eastAsia="Calibri" w:hAnsi="Verdana"/>
          <w:sz w:val="18"/>
          <w:szCs w:val="18"/>
          <w:lang w:eastAsia="en-US"/>
        </w:rPr>
        <w:t>affinchè</w:t>
      </w:r>
      <w:proofErr w:type="spellEnd"/>
      <w:r w:rsidR="00133106" w:rsidRPr="00DA23C5">
        <w:rPr>
          <w:rFonts w:ascii="Verdana" w:eastAsia="Calibri" w:hAnsi="Verdana"/>
          <w:sz w:val="18"/>
          <w:szCs w:val="18"/>
          <w:lang w:eastAsia="en-US"/>
        </w:rPr>
        <w:t xml:space="preserve"> la società possa continuare a svolgere anche in futuro il ruolo assegnatole dai soci di modello compiuto di “società pubblica </w:t>
      </w:r>
      <w:r w:rsidR="00BF5F34" w:rsidRPr="00DA23C5">
        <w:rPr>
          <w:rFonts w:ascii="Verdana" w:eastAsia="Calibri" w:hAnsi="Verdana"/>
          <w:sz w:val="18"/>
          <w:szCs w:val="18"/>
          <w:lang w:eastAsia="en-US"/>
        </w:rPr>
        <w:t xml:space="preserve">ii </w:t>
      </w:r>
      <w:proofErr w:type="spellStart"/>
      <w:r w:rsidR="00BF5F34" w:rsidRPr="00DA23C5">
        <w:rPr>
          <w:rFonts w:ascii="Verdana" w:eastAsia="Calibri" w:hAnsi="Verdana"/>
          <w:sz w:val="18"/>
          <w:szCs w:val="18"/>
          <w:lang w:eastAsia="en-US"/>
        </w:rPr>
        <w:t>house</w:t>
      </w:r>
      <w:proofErr w:type="spellEnd"/>
      <w:r w:rsidR="00BF5F34" w:rsidRPr="00DA23C5">
        <w:rPr>
          <w:rFonts w:ascii="Verdana" w:eastAsia="Calibri" w:hAnsi="Verdana"/>
          <w:sz w:val="18"/>
          <w:szCs w:val="18"/>
          <w:lang w:eastAsia="en-US"/>
        </w:rPr>
        <w:t xml:space="preserve"> </w:t>
      </w:r>
      <w:r w:rsidR="00133106" w:rsidRPr="00DA23C5">
        <w:rPr>
          <w:rFonts w:ascii="Verdana" w:eastAsia="Calibri" w:hAnsi="Verdana"/>
          <w:sz w:val="18"/>
          <w:szCs w:val="18"/>
          <w:lang w:eastAsia="en-US"/>
        </w:rPr>
        <w:t>che svolge un servizio pubblico essenziale per tutta la Romagna</w:t>
      </w:r>
      <w:r w:rsidR="00BF5F34" w:rsidRPr="00DA23C5">
        <w:rPr>
          <w:rFonts w:ascii="Verdana" w:eastAsia="Calibri" w:hAnsi="Verdana"/>
          <w:sz w:val="18"/>
          <w:szCs w:val="18"/>
          <w:lang w:eastAsia="en-US"/>
        </w:rPr>
        <w:t>”.</w:t>
      </w:r>
      <w:r w:rsidR="00133106" w:rsidRPr="00DA23C5">
        <w:rPr>
          <w:rFonts w:ascii="Verdana" w:eastAsia="Calibri" w:hAnsi="Verdana"/>
          <w:sz w:val="18"/>
          <w:szCs w:val="18"/>
          <w:lang w:eastAsia="en-US"/>
        </w:rPr>
        <w:t xml:space="preserve"> </w:t>
      </w:r>
    </w:p>
    <w:p w:rsidR="004738FF" w:rsidRPr="00DA23C5" w:rsidRDefault="004738FF" w:rsidP="00071495">
      <w:pPr>
        <w:pStyle w:val="BodyText21"/>
        <w:tabs>
          <w:tab w:val="left" w:pos="0"/>
        </w:tabs>
        <w:ind w:firstLine="0"/>
        <w:rPr>
          <w:rFonts w:ascii="Verdana" w:hAnsi="Verdana"/>
          <w:b/>
          <w:i w:val="0"/>
          <w:sz w:val="18"/>
          <w:szCs w:val="18"/>
          <w:u w:val="none"/>
        </w:rPr>
      </w:pPr>
      <w:r w:rsidRPr="00DA23C5">
        <w:rPr>
          <w:rFonts w:ascii="Verdana" w:hAnsi="Verdana"/>
          <w:b/>
          <w:i w:val="0"/>
          <w:sz w:val="18"/>
          <w:szCs w:val="18"/>
          <w:u w:val="none"/>
        </w:rPr>
        <w:t>5.b) il contenimento dei costi funzionamento</w:t>
      </w:r>
      <w:r w:rsidR="004A2ED6" w:rsidRPr="00DA23C5">
        <w:rPr>
          <w:rFonts w:ascii="Verdana" w:hAnsi="Verdana"/>
          <w:b/>
          <w:i w:val="0"/>
          <w:sz w:val="18"/>
          <w:szCs w:val="18"/>
          <w:u w:val="none"/>
        </w:rPr>
        <w:t>:</w:t>
      </w:r>
      <w:r w:rsidR="004A2ED6" w:rsidRPr="00DA23C5">
        <w:rPr>
          <w:rFonts w:ascii="Verdana" w:hAnsi="Verdana" w:cs="Arial"/>
          <w:b/>
          <w:bCs/>
          <w:i w:val="0"/>
          <w:sz w:val="18"/>
          <w:szCs w:val="18"/>
          <w:u w:val="none"/>
        </w:rPr>
        <w:t xml:space="preserve"> riduzione </w:t>
      </w:r>
      <w:r w:rsidR="0000314E" w:rsidRPr="00DA23C5">
        <w:rPr>
          <w:rFonts w:ascii="Verdana" w:hAnsi="Verdana" w:cs="Arial"/>
          <w:b/>
          <w:bCs/>
          <w:i w:val="0"/>
          <w:sz w:val="18"/>
          <w:szCs w:val="18"/>
          <w:u w:val="none"/>
        </w:rPr>
        <w:t xml:space="preserve">nel biennio 2022-2023 </w:t>
      </w:r>
      <w:r w:rsidR="004A2ED6" w:rsidRPr="00DA23C5">
        <w:rPr>
          <w:rFonts w:ascii="Verdana" w:hAnsi="Verdana" w:cs="Arial"/>
          <w:b/>
          <w:bCs/>
          <w:i w:val="0"/>
          <w:sz w:val="18"/>
          <w:szCs w:val="18"/>
          <w:u w:val="none"/>
        </w:rPr>
        <w:t>del gap fra costi riconosciuti in tariffa e costi sostenuti e rendicontati</w:t>
      </w:r>
    </w:p>
    <w:p w:rsidR="0000314E" w:rsidRPr="00DA23C5" w:rsidRDefault="004738FF" w:rsidP="00071495">
      <w:pPr>
        <w:pStyle w:val="BodyText21"/>
        <w:tabs>
          <w:tab w:val="left" w:pos="0"/>
        </w:tabs>
        <w:ind w:firstLine="0"/>
        <w:rPr>
          <w:rFonts w:ascii="Verdana" w:hAnsi="Verdana" w:cs="Arial"/>
          <w:bCs/>
          <w:i w:val="0"/>
          <w:sz w:val="18"/>
          <w:szCs w:val="18"/>
          <w:u w:val="none"/>
        </w:rPr>
      </w:pPr>
      <w:r w:rsidRPr="00DA23C5">
        <w:rPr>
          <w:rFonts w:ascii="Verdana" w:hAnsi="Verdana"/>
          <w:i w:val="0"/>
          <w:sz w:val="18"/>
          <w:szCs w:val="18"/>
          <w:u w:val="none"/>
        </w:rPr>
        <w:t xml:space="preserve">Al fine di una più puntuale declinazione delle disposizioni dell’art.19 del </w:t>
      </w:r>
      <w:proofErr w:type="spellStart"/>
      <w:r w:rsidRPr="00DA23C5">
        <w:rPr>
          <w:rFonts w:ascii="Verdana" w:hAnsi="Verdana"/>
          <w:i w:val="0"/>
          <w:sz w:val="18"/>
          <w:szCs w:val="18"/>
          <w:u w:val="none"/>
        </w:rPr>
        <w:t>Dlgs</w:t>
      </w:r>
      <w:proofErr w:type="spellEnd"/>
      <w:r w:rsidRPr="00DA23C5">
        <w:rPr>
          <w:rFonts w:ascii="Verdana" w:hAnsi="Verdana"/>
          <w:i w:val="0"/>
          <w:sz w:val="18"/>
          <w:szCs w:val="18"/>
          <w:u w:val="none"/>
        </w:rPr>
        <w:t xml:space="preserve"> 175</w:t>
      </w:r>
      <w:r w:rsidR="004A2ED6" w:rsidRPr="00DA23C5">
        <w:rPr>
          <w:rFonts w:ascii="Verdana" w:hAnsi="Verdana"/>
          <w:i w:val="0"/>
          <w:sz w:val="18"/>
          <w:szCs w:val="18"/>
          <w:u w:val="none"/>
        </w:rPr>
        <w:t xml:space="preserve"> che recita “</w:t>
      </w:r>
      <w:r w:rsidR="004A2ED6" w:rsidRPr="00DA23C5">
        <w:rPr>
          <w:rFonts w:ascii="Verdana" w:hAnsi="Verdana"/>
          <w:sz w:val="18"/>
          <w:szCs w:val="18"/>
          <w:u w:val="none"/>
        </w:rPr>
        <w:t>le amministrazioni pubbliche socie fissano, con propri provvedimenti ..”…</w:t>
      </w:r>
      <w:r w:rsidR="004A2ED6" w:rsidRPr="00DA23C5">
        <w:rPr>
          <w:rFonts w:ascii="Verdana" w:hAnsi="Verdana"/>
          <w:i w:val="0"/>
          <w:sz w:val="18"/>
          <w:szCs w:val="18"/>
          <w:u w:val="none"/>
        </w:rPr>
        <w:t>obiettivi</w:t>
      </w:r>
      <w:r w:rsidR="004A2ED6" w:rsidRPr="00DA23C5">
        <w:rPr>
          <w:rFonts w:ascii="Verdana" w:hAnsi="Verdana"/>
          <w:sz w:val="18"/>
          <w:szCs w:val="18"/>
          <w:u w:val="none"/>
        </w:rPr>
        <w:t xml:space="preserve"> ..”sul complesso delle spese di funzionamento ivi compresi i costi del personale”, </w:t>
      </w:r>
      <w:r w:rsidR="004A2ED6" w:rsidRPr="00DA23C5">
        <w:rPr>
          <w:rFonts w:ascii="Verdana" w:hAnsi="Verdana"/>
          <w:i w:val="0"/>
          <w:sz w:val="18"/>
          <w:szCs w:val="18"/>
          <w:u w:val="none"/>
        </w:rPr>
        <w:t xml:space="preserve">tenuto conto del contesto di riferimento di Romagna Acque che sviluppa oltre il 90% della propria attività in un settore, quale quello  idrico, regolamentato da ARERA che riconosce ai fini tariffari solo determinati livelli di costi </w:t>
      </w:r>
      <w:r w:rsidR="004A2ED6" w:rsidRPr="00DA23C5">
        <w:rPr>
          <w:rFonts w:ascii="Verdana" w:hAnsi="Verdana"/>
          <w:i w:val="0"/>
          <w:sz w:val="18"/>
          <w:szCs w:val="18"/>
        </w:rPr>
        <w:t>operativi (</w:t>
      </w:r>
      <w:r w:rsidRPr="00DA23C5">
        <w:rPr>
          <w:rFonts w:ascii="Verdana" w:hAnsi="Verdana"/>
          <w:i w:val="0"/>
          <w:sz w:val="18"/>
          <w:szCs w:val="18"/>
        </w:rPr>
        <w:t>“</w:t>
      </w:r>
      <w:r w:rsidR="004A2ED6" w:rsidRPr="00DA23C5">
        <w:rPr>
          <w:rFonts w:ascii="Verdana" w:hAnsi="Verdana"/>
          <w:i w:val="0"/>
          <w:sz w:val="18"/>
          <w:szCs w:val="18"/>
        </w:rPr>
        <w:t xml:space="preserve">costi standard” ritenuti </w:t>
      </w:r>
      <w:proofErr w:type="spellStart"/>
      <w:r w:rsidR="004A2ED6" w:rsidRPr="00DA23C5">
        <w:rPr>
          <w:rFonts w:ascii="Verdana" w:hAnsi="Verdana"/>
          <w:i w:val="0"/>
          <w:sz w:val="18"/>
          <w:szCs w:val="18"/>
          <w:u w:val="none"/>
        </w:rPr>
        <w:t>efficenti</w:t>
      </w:r>
      <w:proofErr w:type="spellEnd"/>
      <w:r w:rsidR="004A2ED6" w:rsidRPr="00DA23C5">
        <w:rPr>
          <w:rFonts w:ascii="Verdana" w:hAnsi="Verdana"/>
          <w:i w:val="0"/>
          <w:sz w:val="18"/>
          <w:szCs w:val="18"/>
          <w:u w:val="none"/>
        </w:rPr>
        <w:t xml:space="preserve">) </w:t>
      </w:r>
      <w:r w:rsidRPr="00DA23C5">
        <w:rPr>
          <w:rFonts w:ascii="Verdana" w:hAnsi="Verdana"/>
          <w:i w:val="0"/>
          <w:sz w:val="18"/>
          <w:szCs w:val="18"/>
          <w:u w:val="none"/>
        </w:rPr>
        <w:t>i soci</w:t>
      </w:r>
      <w:r w:rsidR="0000314E" w:rsidRPr="00DA23C5">
        <w:rPr>
          <w:rFonts w:ascii="Verdana" w:hAnsi="Verdana"/>
          <w:i w:val="0"/>
          <w:sz w:val="18"/>
          <w:szCs w:val="18"/>
          <w:u w:val="none"/>
        </w:rPr>
        <w:t xml:space="preserve"> (</w:t>
      </w:r>
      <w:r w:rsidR="004A2ED6" w:rsidRPr="00DA23C5">
        <w:rPr>
          <w:rFonts w:ascii="Verdana" w:hAnsi="Verdana"/>
          <w:i w:val="0"/>
          <w:sz w:val="18"/>
          <w:szCs w:val="18"/>
          <w:u w:val="none"/>
        </w:rPr>
        <w:t xml:space="preserve">Coordinamento seduta dell’ottobre </w:t>
      </w:r>
      <w:r w:rsidR="009B4B06" w:rsidRPr="00DA23C5">
        <w:rPr>
          <w:rFonts w:ascii="Verdana" w:hAnsi="Verdana"/>
          <w:i w:val="0"/>
          <w:sz w:val="18"/>
          <w:szCs w:val="18"/>
          <w:u w:val="none"/>
        </w:rPr>
        <w:t>2021</w:t>
      </w:r>
      <w:r w:rsidR="0000314E" w:rsidRPr="00DA23C5">
        <w:rPr>
          <w:rFonts w:ascii="Verdana" w:hAnsi="Verdana"/>
          <w:i w:val="0"/>
          <w:sz w:val="18"/>
          <w:szCs w:val="18"/>
          <w:u w:val="none"/>
        </w:rPr>
        <w:t>)</w:t>
      </w:r>
      <w:r w:rsidRPr="00DA23C5">
        <w:rPr>
          <w:rFonts w:ascii="Verdana" w:hAnsi="Verdana"/>
          <w:i w:val="0"/>
          <w:sz w:val="18"/>
          <w:szCs w:val="18"/>
          <w:u w:val="none"/>
        </w:rPr>
        <w:t xml:space="preserve"> hanno impartito alla società </w:t>
      </w:r>
      <w:r w:rsidR="0000314E" w:rsidRPr="00DA23C5">
        <w:rPr>
          <w:rFonts w:ascii="Verdana" w:hAnsi="Verdana"/>
          <w:i w:val="0"/>
          <w:sz w:val="18"/>
          <w:szCs w:val="18"/>
          <w:u w:val="none"/>
        </w:rPr>
        <w:t xml:space="preserve">uno specifico </w:t>
      </w:r>
      <w:r w:rsidRPr="00DA23C5">
        <w:rPr>
          <w:rFonts w:ascii="Verdana" w:hAnsi="Verdana"/>
          <w:i w:val="0"/>
          <w:sz w:val="18"/>
          <w:szCs w:val="18"/>
          <w:u w:val="none"/>
        </w:rPr>
        <w:t>obiettivo</w:t>
      </w:r>
      <w:r w:rsidR="0000314E" w:rsidRPr="00DA23C5">
        <w:rPr>
          <w:rFonts w:ascii="Verdana" w:hAnsi="Verdana"/>
          <w:i w:val="0"/>
          <w:sz w:val="18"/>
          <w:szCs w:val="18"/>
          <w:u w:val="none"/>
        </w:rPr>
        <w:t>,</w:t>
      </w:r>
      <w:r w:rsidRPr="00DA23C5">
        <w:rPr>
          <w:rFonts w:ascii="Verdana" w:hAnsi="Verdana"/>
          <w:i w:val="0"/>
          <w:sz w:val="18"/>
          <w:szCs w:val="18"/>
          <w:u w:val="none"/>
        </w:rPr>
        <w:t xml:space="preserve"> </w:t>
      </w:r>
      <w:r w:rsidR="009B4B06" w:rsidRPr="00DA23C5">
        <w:rPr>
          <w:rFonts w:ascii="Verdana" w:hAnsi="Verdana"/>
          <w:i w:val="0"/>
          <w:sz w:val="18"/>
          <w:szCs w:val="18"/>
          <w:u w:val="none"/>
        </w:rPr>
        <w:t>sviluppato nel biennio 2022</w:t>
      </w:r>
      <w:r w:rsidR="0000314E" w:rsidRPr="00DA23C5">
        <w:rPr>
          <w:rFonts w:ascii="Verdana" w:hAnsi="Verdana"/>
          <w:i w:val="0"/>
          <w:sz w:val="18"/>
          <w:szCs w:val="18"/>
          <w:u w:val="none"/>
        </w:rPr>
        <w:t>-</w:t>
      </w:r>
      <w:r w:rsidR="009B4B06" w:rsidRPr="00DA23C5">
        <w:rPr>
          <w:rFonts w:ascii="Verdana" w:hAnsi="Verdana"/>
          <w:i w:val="0"/>
          <w:sz w:val="18"/>
          <w:szCs w:val="18"/>
          <w:u w:val="none"/>
        </w:rPr>
        <w:t>2023</w:t>
      </w:r>
      <w:r w:rsidR="0000314E" w:rsidRPr="00DA23C5">
        <w:rPr>
          <w:rFonts w:ascii="Verdana" w:hAnsi="Verdana"/>
          <w:i w:val="0"/>
          <w:sz w:val="18"/>
          <w:szCs w:val="18"/>
          <w:u w:val="none"/>
        </w:rPr>
        <w:t>,</w:t>
      </w:r>
      <w:r w:rsidR="009B4B06" w:rsidRPr="00DA23C5">
        <w:rPr>
          <w:rFonts w:ascii="Verdana" w:hAnsi="Verdana"/>
          <w:i w:val="0"/>
          <w:sz w:val="18"/>
          <w:szCs w:val="18"/>
          <w:u w:val="none"/>
        </w:rPr>
        <w:t xml:space="preserve"> </w:t>
      </w:r>
      <w:r w:rsidR="004A2ED6" w:rsidRPr="00DA23C5">
        <w:rPr>
          <w:rFonts w:ascii="Verdana" w:hAnsi="Verdana"/>
          <w:i w:val="0"/>
          <w:sz w:val="18"/>
          <w:szCs w:val="18"/>
          <w:u w:val="none"/>
        </w:rPr>
        <w:t>di “</w:t>
      </w:r>
      <w:r w:rsidR="004A2ED6" w:rsidRPr="00DA23C5">
        <w:rPr>
          <w:rFonts w:ascii="Verdana" w:hAnsi="Verdana" w:cs="Arial"/>
          <w:bCs/>
          <w:i w:val="0"/>
          <w:sz w:val="18"/>
          <w:szCs w:val="18"/>
          <w:u w:val="none"/>
        </w:rPr>
        <w:t xml:space="preserve">riduzione del gap fra costi riconosciuti </w:t>
      </w:r>
      <w:r w:rsidR="00EA2577" w:rsidRPr="00DA23C5">
        <w:rPr>
          <w:rFonts w:ascii="Verdana" w:hAnsi="Verdana" w:cs="Arial"/>
          <w:bCs/>
          <w:i w:val="0"/>
          <w:sz w:val="18"/>
          <w:szCs w:val="18"/>
          <w:u w:val="none"/>
        </w:rPr>
        <w:t xml:space="preserve">nella tariffa dell’acqua all’ingrosso </w:t>
      </w:r>
      <w:r w:rsidR="004A2ED6" w:rsidRPr="00DA23C5">
        <w:rPr>
          <w:rFonts w:ascii="Verdana" w:hAnsi="Verdana" w:cs="Arial"/>
          <w:bCs/>
          <w:i w:val="0"/>
          <w:sz w:val="18"/>
          <w:szCs w:val="18"/>
          <w:u w:val="none"/>
        </w:rPr>
        <w:t xml:space="preserve">e costi </w:t>
      </w:r>
      <w:r w:rsidR="00EA2577" w:rsidRPr="00DA23C5">
        <w:rPr>
          <w:rFonts w:ascii="Verdana" w:hAnsi="Verdana" w:cs="Arial"/>
          <w:bCs/>
          <w:i w:val="0"/>
          <w:sz w:val="18"/>
          <w:szCs w:val="18"/>
          <w:u w:val="none"/>
        </w:rPr>
        <w:t>sostenuti e rendicontati”</w:t>
      </w:r>
      <w:r w:rsidR="0000314E" w:rsidRPr="00DA23C5">
        <w:rPr>
          <w:rFonts w:ascii="Verdana" w:hAnsi="Verdana" w:cs="Arial"/>
          <w:bCs/>
          <w:i w:val="0"/>
          <w:sz w:val="18"/>
          <w:szCs w:val="18"/>
          <w:u w:val="none"/>
        </w:rPr>
        <w:t>.</w:t>
      </w:r>
    </w:p>
    <w:p w:rsidR="0000314E" w:rsidRPr="00DA23C5" w:rsidRDefault="0000314E" w:rsidP="00071495">
      <w:pPr>
        <w:pStyle w:val="BodyText21"/>
        <w:tabs>
          <w:tab w:val="left" w:pos="0"/>
        </w:tabs>
        <w:ind w:firstLine="0"/>
        <w:rPr>
          <w:rFonts w:ascii="Verdana" w:hAnsi="Verdana" w:cs="Arial"/>
          <w:bCs/>
          <w:i w:val="0"/>
          <w:sz w:val="18"/>
          <w:szCs w:val="18"/>
          <w:u w:val="none"/>
        </w:rPr>
      </w:pPr>
      <w:r w:rsidRPr="00DA23C5">
        <w:rPr>
          <w:rFonts w:ascii="Verdana" w:hAnsi="Verdana" w:cs="Arial"/>
          <w:bCs/>
          <w:i w:val="0"/>
          <w:sz w:val="18"/>
          <w:szCs w:val="18"/>
          <w:u w:val="none"/>
        </w:rPr>
        <w:t>Q</w:t>
      </w:r>
      <w:r w:rsidR="00EA2577" w:rsidRPr="00DA23C5">
        <w:rPr>
          <w:rFonts w:ascii="Verdana" w:hAnsi="Verdana" w:cs="Arial"/>
          <w:bCs/>
          <w:i w:val="0"/>
          <w:sz w:val="18"/>
          <w:szCs w:val="18"/>
          <w:u w:val="none"/>
        </w:rPr>
        <w:t>uesto gap ha subito negli anni, dal 2012 -anno di implementazione della regolamentazione da parte dell’Autorità nazionale- al 2021, un continuo incremento</w:t>
      </w:r>
      <w:r w:rsidRPr="00DA23C5">
        <w:rPr>
          <w:rFonts w:ascii="Verdana" w:hAnsi="Verdana" w:cs="Arial"/>
          <w:bCs/>
          <w:i w:val="0"/>
          <w:sz w:val="18"/>
          <w:szCs w:val="18"/>
          <w:u w:val="none"/>
        </w:rPr>
        <w:t>; mentre p</w:t>
      </w:r>
      <w:r w:rsidR="00EA2577" w:rsidRPr="00DA23C5">
        <w:rPr>
          <w:rFonts w:ascii="Verdana" w:hAnsi="Verdana" w:cs="Arial"/>
          <w:bCs/>
          <w:i w:val="0"/>
          <w:sz w:val="18"/>
          <w:szCs w:val="18"/>
          <w:u w:val="none"/>
        </w:rPr>
        <w:t xml:space="preserve">er alcune voci di costo i soci si sono già chiaramente espressi in merito al mantenimento dei relativi costi pur in mancanza di un riconoscimento in tariffa (contributi ai comuni montani in cui insistono le opere della risorsa idrica di “Ridracoli” e canone riconosciuto alla società Plurima per il </w:t>
      </w:r>
      <w:proofErr w:type="spellStart"/>
      <w:r w:rsidR="00EA2577" w:rsidRPr="00DA23C5">
        <w:rPr>
          <w:rFonts w:ascii="Verdana" w:hAnsi="Verdana" w:cs="Arial"/>
          <w:bCs/>
          <w:i w:val="0"/>
          <w:sz w:val="18"/>
          <w:szCs w:val="18"/>
          <w:u w:val="none"/>
        </w:rPr>
        <w:t>vettoriamento</w:t>
      </w:r>
      <w:proofErr w:type="spellEnd"/>
      <w:r w:rsidR="00EA2577" w:rsidRPr="00DA23C5">
        <w:rPr>
          <w:rFonts w:ascii="Verdana" w:hAnsi="Verdana" w:cs="Arial"/>
          <w:bCs/>
          <w:i w:val="0"/>
          <w:sz w:val="18"/>
          <w:szCs w:val="18"/>
          <w:u w:val="none"/>
        </w:rPr>
        <w:t xml:space="preserve"> della risorsa idrica da “Po”) per altre voci invece </w:t>
      </w:r>
      <w:r w:rsidR="00192359" w:rsidRPr="00DA23C5">
        <w:rPr>
          <w:rFonts w:ascii="Verdana" w:hAnsi="Verdana" w:cs="Arial"/>
          <w:bCs/>
          <w:i w:val="0"/>
          <w:sz w:val="18"/>
          <w:szCs w:val="18"/>
          <w:u w:val="none"/>
        </w:rPr>
        <w:t>hanno invitato la società a predisporre un piano per la riduzione del suddetto gap.</w:t>
      </w:r>
    </w:p>
    <w:p w:rsidR="00407873" w:rsidRPr="00DA23C5" w:rsidRDefault="00192359" w:rsidP="0000314E">
      <w:pPr>
        <w:jc w:val="both"/>
        <w:rPr>
          <w:rFonts w:ascii="Verdana" w:hAnsi="Verdana"/>
          <w:snapToGrid w:val="0"/>
          <w:sz w:val="18"/>
          <w:szCs w:val="18"/>
          <w:highlight w:val="green"/>
        </w:rPr>
      </w:pPr>
      <w:r w:rsidRPr="00DA23C5">
        <w:rPr>
          <w:rFonts w:ascii="Verdana" w:hAnsi="Verdana" w:cs="Arial"/>
          <w:bCs/>
          <w:sz w:val="18"/>
          <w:szCs w:val="18"/>
        </w:rPr>
        <w:lastRenderedPageBreak/>
        <w:t xml:space="preserve">Nello specifico è stato individuato un obiettivo di </w:t>
      </w:r>
      <w:r w:rsidRPr="00DA23C5">
        <w:rPr>
          <w:rFonts w:ascii="Verdana" w:hAnsi="Verdana" w:cs="Arial"/>
          <w:b/>
          <w:bCs/>
          <w:sz w:val="18"/>
          <w:szCs w:val="18"/>
        </w:rPr>
        <w:t>contenimento delle spese relative alla “rappresentanza” e alle “liberalità</w:t>
      </w:r>
      <w:r w:rsidRPr="00DA23C5">
        <w:rPr>
          <w:rFonts w:ascii="Verdana" w:hAnsi="Verdana" w:cs="Arial"/>
          <w:bCs/>
          <w:sz w:val="18"/>
          <w:szCs w:val="18"/>
        </w:rPr>
        <w:t xml:space="preserve">” (con esclusione dalla misura di contenimento di quelle relative al </w:t>
      </w:r>
      <w:proofErr w:type="spellStart"/>
      <w:proofErr w:type="gramStart"/>
      <w:r w:rsidRPr="00DA23C5">
        <w:rPr>
          <w:rFonts w:ascii="Verdana" w:hAnsi="Verdana" w:cs="Arial"/>
          <w:bCs/>
          <w:sz w:val="18"/>
          <w:szCs w:val="18"/>
        </w:rPr>
        <w:t>cd”art</w:t>
      </w:r>
      <w:proofErr w:type="spellEnd"/>
      <w:proofErr w:type="gramEnd"/>
      <w:r w:rsidRPr="00DA23C5">
        <w:rPr>
          <w:rFonts w:ascii="Verdana" w:hAnsi="Verdana" w:cs="Arial"/>
          <w:bCs/>
          <w:sz w:val="18"/>
          <w:szCs w:val="18"/>
        </w:rPr>
        <w:t xml:space="preserve"> bonus”).</w:t>
      </w:r>
      <w:r w:rsidR="0000314E" w:rsidRPr="00DA23C5">
        <w:rPr>
          <w:rFonts w:ascii="Verdana" w:hAnsi="Verdana" w:cs="Arial"/>
          <w:bCs/>
          <w:sz w:val="18"/>
          <w:szCs w:val="18"/>
        </w:rPr>
        <w:t xml:space="preserve"> Si rimanda al successivo</w:t>
      </w:r>
      <w:r w:rsidRPr="00DA23C5">
        <w:rPr>
          <w:rFonts w:ascii="Verdana" w:hAnsi="Verdana" w:cs="Arial"/>
          <w:bCs/>
          <w:sz w:val="18"/>
          <w:szCs w:val="18"/>
        </w:rPr>
        <w:t xml:space="preserve"> </w:t>
      </w:r>
      <w:r w:rsidR="0000314E" w:rsidRPr="00DA23C5">
        <w:rPr>
          <w:rFonts w:ascii="Verdana" w:hAnsi="Verdana" w:cs="Arial"/>
          <w:bCs/>
          <w:sz w:val="18"/>
          <w:szCs w:val="18"/>
        </w:rPr>
        <w:t>paragrafo</w:t>
      </w:r>
      <w:r w:rsidRPr="00DA23C5">
        <w:rPr>
          <w:rFonts w:ascii="Verdana" w:hAnsi="Verdana" w:cs="Arial"/>
          <w:bCs/>
          <w:sz w:val="18"/>
          <w:szCs w:val="18"/>
        </w:rPr>
        <w:t xml:space="preserve"> </w:t>
      </w:r>
      <w:r w:rsidR="0000314E" w:rsidRPr="00DA23C5">
        <w:rPr>
          <w:rFonts w:ascii="Verdana" w:hAnsi="Verdana" w:cs="Arial"/>
          <w:bCs/>
          <w:sz w:val="18"/>
          <w:szCs w:val="18"/>
        </w:rPr>
        <w:t>6) “</w:t>
      </w:r>
      <w:r w:rsidR="0000314E" w:rsidRPr="00DA23C5">
        <w:rPr>
          <w:rFonts w:ascii="Verdana" w:hAnsi="Verdana"/>
          <w:snapToGrid w:val="0"/>
          <w:sz w:val="18"/>
          <w:szCs w:val="18"/>
        </w:rPr>
        <w:t xml:space="preserve">Rendicontazione e aggiornamento sugli obiettivi economici e gestionali assegnati per l’anno 2022” </w:t>
      </w:r>
      <w:r w:rsidR="0000314E" w:rsidRPr="00DA23C5">
        <w:rPr>
          <w:rFonts w:ascii="Verdana" w:hAnsi="Verdana" w:cs="Arial"/>
          <w:bCs/>
          <w:sz w:val="18"/>
          <w:szCs w:val="18"/>
        </w:rPr>
        <w:t xml:space="preserve">in merito al monitoraggio e rendicontazione per il </w:t>
      </w:r>
      <w:proofErr w:type="spellStart"/>
      <w:r w:rsidR="0000314E" w:rsidRPr="00DA23C5">
        <w:rPr>
          <w:rFonts w:ascii="Verdana" w:hAnsi="Verdana" w:cs="Arial"/>
          <w:bCs/>
          <w:sz w:val="18"/>
          <w:szCs w:val="18"/>
        </w:rPr>
        <w:t>il</w:t>
      </w:r>
      <w:proofErr w:type="spellEnd"/>
      <w:r w:rsidR="0000314E" w:rsidRPr="00DA23C5">
        <w:rPr>
          <w:rFonts w:ascii="Verdana" w:hAnsi="Verdana" w:cs="Arial"/>
          <w:bCs/>
          <w:sz w:val="18"/>
          <w:szCs w:val="18"/>
        </w:rPr>
        <w:t xml:space="preserve"> </w:t>
      </w:r>
      <w:proofErr w:type="gramStart"/>
      <w:r w:rsidR="0000314E" w:rsidRPr="00DA23C5">
        <w:rPr>
          <w:rFonts w:ascii="Verdana" w:hAnsi="Verdana" w:cs="Arial"/>
          <w:bCs/>
          <w:sz w:val="18"/>
          <w:szCs w:val="18"/>
        </w:rPr>
        <w:t xml:space="preserve">2022  </w:t>
      </w:r>
      <w:r w:rsidR="0000314E" w:rsidRPr="00DA23C5">
        <w:rPr>
          <w:rFonts w:ascii="Verdana" w:hAnsi="Verdana"/>
          <w:snapToGrid w:val="0"/>
          <w:sz w:val="18"/>
          <w:szCs w:val="18"/>
        </w:rPr>
        <w:t>e</w:t>
      </w:r>
      <w:proofErr w:type="gramEnd"/>
      <w:r w:rsidR="0000314E" w:rsidRPr="00DA23C5">
        <w:rPr>
          <w:rFonts w:ascii="Verdana" w:hAnsi="Verdana"/>
          <w:snapToGrid w:val="0"/>
          <w:sz w:val="18"/>
          <w:szCs w:val="18"/>
        </w:rPr>
        <w:t xml:space="preserve"> </w:t>
      </w:r>
      <w:r w:rsidR="00FF3AD3" w:rsidRPr="00DA23C5">
        <w:rPr>
          <w:rFonts w:ascii="Verdana" w:hAnsi="Verdana"/>
          <w:snapToGrid w:val="0"/>
          <w:sz w:val="18"/>
          <w:szCs w:val="18"/>
        </w:rPr>
        <w:t xml:space="preserve">al paragrafo </w:t>
      </w:r>
      <w:r w:rsidRPr="00DA23C5">
        <w:rPr>
          <w:rFonts w:ascii="Verdana" w:hAnsi="Verdana" w:cs="Arial"/>
          <w:bCs/>
          <w:sz w:val="18"/>
          <w:szCs w:val="18"/>
        </w:rPr>
        <w:t>7) “obiettivi ass</w:t>
      </w:r>
      <w:r w:rsidR="0000314E" w:rsidRPr="00DA23C5">
        <w:rPr>
          <w:rFonts w:ascii="Verdana" w:hAnsi="Verdana" w:cs="Arial"/>
          <w:bCs/>
          <w:sz w:val="18"/>
          <w:szCs w:val="18"/>
        </w:rPr>
        <w:t>egnati per l’anno di budget 2023</w:t>
      </w:r>
      <w:r w:rsidRPr="00DA23C5">
        <w:rPr>
          <w:rFonts w:ascii="Verdana" w:hAnsi="Verdana" w:cs="Arial"/>
          <w:bCs/>
          <w:sz w:val="18"/>
          <w:szCs w:val="18"/>
        </w:rPr>
        <w:t>”</w:t>
      </w:r>
      <w:r w:rsidR="00FF3AD3" w:rsidRPr="00DA23C5">
        <w:rPr>
          <w:rFonts w:ascii="Verdana" w:hAnsi="Verdana" w:cs="Arial"/>
          <w:bCs/>
          <w:sz w:val="18"/>
          <w:szCs w:val="18"/>
        </w:rPr>
        <w:t xml:space="preserve"> per la determinazione del contenimento costi su tale annualità</w:t>
      </w:r>
      <w:r w:rsidRPr="00DA23C5">
        <w:rPr>
          <w:rFonts w:ascii="Verdana" w:hAnsi="Verdana" w:cs="Arial"/>
          <w:bCs/>
          <w:i/>
          <w:sz w:val="18"/>
          <w:szCs w:val="18"/>
        </w:rPr>
        <w:t>.</w:t>
      </w:r>
    </w:p>
    <w:p w:rsidR="00446271" w:rsidRPr="00DA23C5" w:rsidRDefault="00407873" w:rsidP="00446271">
      <w:pPr>
        <w:jc w:val="both"/>
        <w:rPr>
          <w:rFonts w:ascii="Verdana" w:hAnsi="Verdana"/>
          <w:b/>
          <w:snapToGrid w:val="0"/>
          <w:sz w:val="18"/>
          <w:szCs w:val="18"/>
        </w:rPr>
      </w:pPr>
      <w:r w:rsidRPr="00DA23C5">
        <w:rPr>
          <w:rFonts w:ascii="Verdana" w:hAnsi="Verdana"/>
          <w:b/>
          <w:snapToGrid w:val="0"/>
          <w:sz w:val="18"/>
          <w:szCs w:val="18"/>
        </w:rPr>
        <w:t>6) Rendicontazione e aggiornamento sugli obiettivi economici e gestionali assegnati per l’anno 202</w:t>
      </w:r>
      <w:r w:rsidR="00446271" w:rsidRPr="00DA23C5">
        <w:rPr>
          <w:rFonts w:ascii="Verdana" w:hAnsi="Verdana"/>
          <w:b/>
          <w:snapToGrid w:val="0"/>
          <w:sz w:val="18"/>
          <w:szCs w:val="18"/>
        </w:rPr>
        <w:t xml:space="preserve">2 </w:t>
      </w:r>
    </w:p>
    <w:p w:rsidR="00446271" w:rsidRPr="00DA23C5" w:rsidRDefault="00446271" w:rsidP="00446271">
      <w:pPr>
        <w:jc w:val="both"/>
        <w:rPr>
          <w:rFonts w:ascii="Verdana" w:hAnsi="Verdana"/>
          <w:snapToGrid w:val="0"/>
          <w:sz w:val="18"/>
          <w:szCs w:val="18"/>
          <w:highlight w:val="yellow"/>
        </w:rPr>
      </w:pPr>
      <w:r w:rsidRPr="00DA23C5">
        <w:rPr>
          <w:rFonts w:ascii="Verdana" w:hAnsi="Verdana"/>
          <w:snapToGrid w:val="0"/>
          <w:sz w:val="18"/>
          <w:szCs w:val="18"/>
        </w:rPr>
        <w:t xml:space="preserve">Con delibera n.135 del 17/11/2021 il </w:t>
      </w:r>
      <w:proofErr w:type="spellStart"/>
      <w:r w:rsidRPr="00DA23C5">
        <w:rPr>
          <w:rFonts w:ascii="Verdana" w:hAnsi="Verdana"/>
          <w:snapToGrid w:val="0"/>
          <w:sz w:val="18"/>
          <w:szCs w:val="18"/>
        </w:rPr>
        <w:t>CdA</w:t>
      </w:r>
      <w:proofErr w:type="spellEnd"/>
      <w:r w:rsidRPr="00DA23C5">
        <w:rPr>
          <w:rFonts w:ascii="Verdana" w:hAnsi="Verdana"/>
          <w:snapToGrid w:val="0"/>
          <w:sz w:val="18"/>
          <w:szCs w:val="18"/>
        </w:rPr>
        <w:t xml:space="preserve"> ha preso atto degli obiettivi assegnati alla Società per l’anno 2022 dal Coordinamento Soci del 13 ottobre 2021.</w:t>
      </w:r>
      <w:r w:rsidRPr="00DA23C5">
        <w:rPr>
          <w:rFonts w:ascii="Verdana" w:hAnsi="Verdana"/>
          <w:snapToGrid w:val="0"/>
          <w:sz w:val="18"/>
          <w:szCs w:val="18"/>
          <w:highlight w:val="yellow"/>
        </w:rPr>
        <w:t xml:space="preserve"> </w:t>
      </w:r>
    </w:p>
    <w:p w:rsidR="00446271" w:rsidRPr="00DA23C5" w:rsidRDefault="00446271" w:rsidP="00446271">
      <w:pPr>
        <w:jc w:val="both"/>
        <w:rPr>
          <w:rFonts w:ascii="Verdana" w:hAnsi="Verdana"/>
          <w:snapToGrid w:val="0"/>
          <w:sz w:val="18"/>
          <w:szCs w:val="18"/>
        </w:rPr>
      </w:pPr>
      <w:r w:rsidRPr="00DA23C5">
        <w:rPr>
          <w:rFonts w:ascii="Verdana" w:hAnsi="Verdana"/>
          <w:snapToGrid w:val="0"/>
          <w:sz w:val="18"/>
          <w:szCs w:val="18"/>
        </w:rPr>
        <w:t xml:space="preserve">Si evidenzia che per ogni obiettivo è stato assegnato anche il relativo peso, l’informazione è prevista nei documenti di programmazione (DUP) che i Comuni devono redigere e trasmettere ai competenti organi entro novembre. Nelle verifiche </w:t>
      </w:r>
      <w:proofErr w:type="spellStart"/>
      <w:r w:rsidRPr="00DA23C5">
        <w:rPr>
          <w:rFonts w:ascii="Verdana" w:hAnsi="Verdana"/>
          <w:snapToGrid w:val="0"/>
          <w:sz w:val="18"/>
          <w:szCs w:val="18"/>
        </w:rPr>
        <w:t>infrannuali</w:t>
      </w:r>
      <w:proofErr w:type="spellEnd"/>
      <w:r w:rsidRPr="00DA23C5">
        <w:rPr>
          <w:rFonts w:ascii="Verdana" w:hAnsi="Verdana"/>
          <w:snapToGrid w:val="0"/>
          <w:sz w:val="18"/>
          <w:szCs w:val="18"/>
        </w:rPr>
        <w:t xml:space="preserve"> che la società è tenuta ad effettuare, come di prassi viene data specifica informativa in merito al raggiungimento degli obiettivi assegnati.</w:t>
      </w:r>
    </w:p>
    <w:tbl>
      <w:tblPr>
        <w:tblW w:w="9634" w:type="dxa"/>
        <w:tblCellMar>
          <w:left w:w="70" w:type="dxa"/>
          <w:right w:w="70" w:type="dxa"/>
        </w:tblCellMar>
        <w:tblLook w:val="04A0" w:firstRow="1" w:lastRow="0" w:firstColumn="1" w:lastColumn="0" w:noHBand="0" w:noVBand="1"/>
      </w:tblPr>
      <w:tblGrid>
        <w:gridCol w:w="433"/>
        <w:gridCol w:w="3819"/>
        <w:gridCol w:w="4108"/>
        <w:gridCol w:w="1274"/>
      </w:tblGrid>
      <w:tr w:rsidR="00446271" w:rsidRPr="00DA23C5" w:rsidTr="00DA23C5">
        <w:trPr>
          <w:trHeight w:val="263"/>
        </w:trPr>
        <w:tc>
          <w:tcPr>
            <w:tcW w:w="4252" w:type="dxa"/>
            <w:gridSpan w:val="2"/>
            <w:tcBorders>
              <w:top w:val="single" w:sz="4" w:space="0" w:color="auto"/>
              <w:left w:val="single" w:sz="4" w:space="0" w:color="auto"/>
              <w:bottom w:val="nil"/>
              <w:right w:val="single" w:sz="4" w:space="0" w:color="auto"/>
            </w:tcBorders>
            <w:shd w:val="clear" w:color="auto" w:fill="auto"/>
            <w:vAlign w:val="center"/>
            <w:hideMark/>
          </w:tcPr>
          <w:p w:rsidR="00446271" w:rsidRPr="00DA23C5" w:rsidRDefault="00446271" w:rsidP="00446271">
            <w:pPr>
              <w:rPr>
                <w:rFonts w:ascii="Verdana" w:hAnsi="Verdana" w:cs="Arial"/>
                <w:b/>
                <w:bCs/>
                <w:sz w:val="18"/>
                <w:szCs w:val="18"/>
                <w:lang w:eastAsia="it-IT"/>
              </w:rPr>
            </w:pPr>
            <w:r w:rsidRPr="00DA23C5">
              <w:rPr>
                <w:rFonts w:ascii="Verdana" w:hAnsi="Verdana" w:cs="Arial"/>
                <w:b/>
                <w:bCs/>
                <w:sz w:val="18"/>
                <w:szCs w:val="18"/>
                <w:lang w:eastAsia="it-IT"/>
              </w:rPr>
              <w:t> </w:t>
            </w:r>
          </w:p>
        </w:tc>
        <w:tc>
          <w:tcPr>
            <w:tcW w:w="4108" w:type="dxa"/>
            <w:vMerge w:val="restart"/>
            <w:tcBorders>
              <w:top w:val="single" w:sz="4" w:space="0" w:color="auto"/>
              <w:left w:val="nil"/>
              <w:bottom w:val="single" w:sz="4" w:space="0" w:color="000000"/>
              <w:right w:val="single" w:sz="4" w:space="0" w:color="auto"/>
            </w:tcBorders>
            <w:shd w:val="clear" w:color="auto" w:fill="auto"/>
            <w:vAlign w:val="center"/>
            <w:hideMark/>
          </w:tcPr>
          <w:p w:rsidR="00446271" w:rsidRPr="00DA23C5" w:rsidRDefault="00446271" w:rsidP="00446271">
            <w:pPr>
              <w:jc w:val="center"/>
              <w:rPr>
                <w:rFonts w:ascii="Verdana" w:hAnsi="Verdana" w:cs="Arial"/>
                <w:b/>
                <w:bCs/>
                <w:sz w:val="18"/>
                <w:szCs w:val="18"/>
                <w:lang w:eastAsia="it-IT"/>
              </w:rPr>
            </w:pPr>
            <w:r w:rsidRPr="00DA23C5">
              <w:rPr>
                <w:rFonts w:ascii="Verdana" w:hAnsi="Verdana" w:cs="Arial"/>
                <w:b/>
                <w:bCs/>
                <w:sz w:val="18"/>
                <w:szCs w:val="18"/>
                <w:lang w:eastAsia="it-IT"/>
              </w:rPr>
              <w:t>AZIONI</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6271" w:rsidRPr="00DA23C5" w:rsidRDefault="00446271" w:rsidP="00446271">
            <w:pPr>
              <w:jc w:val="center"/>
              <w:rPr>
                <w:rFonts w:ascii="Verdana" w:hAnsi="Verdana" w:cs="Arial"/>
                <w:b/>
                <w:bCs/>
                <w:sz w:val="18"/>
                <w:szCs w:val="18"/>
                <w:lang w:eastAsia="it-IT"/>
              </w:rPr>
            </w:pPr>
            <w:proofErr w:type="gramStart"/>
            <w:r w:rsidRPr="00DA23C5">
              <w:rPr>
                <w:rFonts w:ascii="Verdana" w:hAnsi="Verdana" w:cs="Arial"/>
                <w:b/>
                <w:bCs/>
                <w:sz w:val="18"/>
                <w:szCs w:val="18"/>
                <w:lang w:eastAsia="it-IT"/>
              </w:rPr>
              <w:t>pesi</w:t>
            </w:r>
            <w:proofErr w:type="gramEnd"/>
            <w:r w:rsidRPr="00DA23C5">
              <w:rPr>
                <w:rFonts w:ascii="Verdana" w:hAnsi="Verdana" w:cs="Arial"/>
                <w:b/>
                <w:bCs/>
                <w:sz w:val="18"/>
                <w:szCs w:val="18"/>
                <w:lang w:eastAsia="it-IT"/>
              </w:rPr>
              <w:t xml:space="preserve"> % </w:t>
            </w:r>
          </w:p>
        </w:tc>
      </w:tr>
      <w:tr w:rsidR="00446271" w:rsidRPr="00DA23C5" w:rsidTr="00DA23C5">
        <w:trPr>
          <w:trHeight w:val="58"/>
        </w:trPr>
        <w:tc>
          <w:tcPr>
            <w:tcW w:w="4252" w:type="dxa"/>
            <w:gridSpan w:val="2"/>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rPr>
                <w:rFonts w:ascii="Verdana" w:hAnsi="Verdana" w:cs="Arial"/>
                <w:b/>
                <w:bCs/>
                <w:sz w:val="18"/>
                <w:szCs w:val="18"/>
                <w:lang w:eastAsia="it-IT"/>
              </w:rPr>
            </w:pPr>
            <w:r w:rsidRPr="00DA23C5">
              <w:rPr>
                <w:rFonts w:ascii="Verdana" w:hAnsi="Verdana" w:cs="Arial"/>
                <w:b/>
                <w:bCs/>
                <w:sz w:val="18"/>
                <w:szCs w:val="18"/>
                <w:lang w:eastAsia="it-IT"/>
              </w:rPr>
              <w:t>OBIETTIVO STRATEGICO N.1</w:t>
            </w:r>
          </w:p>
        </w:tc>
        <w:tc>
          <w:tcPr>
            <w:tcW w:w="4108" w:type="dxa"/>
            <w:vMerge/>
            <w:tcBorders>
              <w:top w:val="single" w:sz="4" w:space="0" w:color="auto"/>
              <w:left w:val="nil"/>
              <w:bottom w:val="single" w:sz="4" w:space="0" w:color="000000"/>
              <w:right w:val="single" w:sz="4" w:space="0" w:color="auto"/>
            </w:tcBorders>
            <w:vAlign w:val="center"/>
            <w:hideMark/>
          </w:tcPr>
          <w:p w:rsidR="00446271" w:rsidRPr="00DA23C5" w:rsidRDefault="00446271" w:rsidP="00446271">
            <w:pPr>
              <w:rPr>
                <w:rFonts w:ascii="Verdana" w:hAnsi="Verdana" w:cs="Arial"/>
                <w:bCs/>
                <w:sz w:val="18"/>
                <w:szCs w:val="18"/>
                <w:lang w:eastAsia="it-IT"/>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446271" w:rsidRPr="00DA23C5" w:rsidRDefault="00446271" w:rsidP="00446271">
            <w:pPr>
              <w:rPr>
                <w:rFonts w:ascii="Verdana" w:hAnsi="Verdana" w:cs="Arial"/>
                <w:bCs/>
                <w:sz w:val="18"/>
                <w:szCs w:val="18"/>
                <w:lang w:eastAsia="it-IT"/>
              </w:rPr>
            </w:pPr>
          </w:p>
        </w:tc>
      </w:tr>
      <w:tr w:rsidR="00446271" w:rsidRPr="00DA23C5" w:rsidTr="00DA23C5">
        <w:trPr>
          <w:trHeight w:val="886"/>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1</w:t>
            </w:r>
          </w:p>
        </w:tc>
        <w:tc>
          <w:tcPr>
            <w:tcW w:w="3819"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bCs/>
                <w:sz w:val="18"/>
                <w:szCs w:val="18"/>
                <w:lang w:eastAsia="it-IT"/>
              </w:rPr>
            </w:pPr>
            <w:r w:rsidRPr="00DA23C5">
              <w:rPr>
                <w:rFonts w:ascii="Verdana" w:hAnsi="Verdana" w:cs="Arial"/>
                <w:bCs/>
                <w:sz w:val="18"/>
                <w:szCs w:val="18"/>
                <w:lang w:eastAsia="it-IT"/>
              </w:rPr>
              <w:t xml:space="preserve">Piano degli interventi 2020-2023. Rispetto del cronoprogramma degli interventi approvato da ATERSIR con delibera n. 40 del 28/09/2020. </w:t>
            </w:r>
          </w:p>
        </w:tc>
        <w:tc>
          <w:tcPr>
            <w:tcW w:w="4108" w:type="dxa"/>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 </w:t>
            </w:r>
          </w:p>
        </w:tc>
        <w:tc>
          <w:tcPr>
            <w:tcW w:w="1274"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center"/>
              <w:rPr>
                <w:rFonts w:ascii="Verdana" w:hAnsi="Verdana" w:cs="Arial"/>
                <w:bCs/>
                <w:sz w:val="18"/>
                <w:szCs w:val="18"/>
                <w:lang w:eastAsia="it-IT"/>
              </w:rPr>
            </w:pPr>
            <w:r w:rsidRPr="00DA23C5">
              <w:rPr>
                <w:rFonts w:ascii="Verdana" w:hAnsi="Verdana" w:cs="Arial"/>
                <w:bCs/>
                <w:sz w:val="18"/>
                <w:szCs w:val="18"/>
                <w:lang w:eastAsia="it-IT"/>
              </w:rPr>
              <w:t>25%</w:t>
            </w:r>
          </w:p>
        </w:tc>
      </w:tr>
      <w:tr w:rsidR="00446271" w:rsidRPr="00DA23C5" w:rsidTr="00DA23C5">
        <w:trPr>
          <w:trHeight w:val="1383"/>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1.a</w:t>
            </w:r>
          </w:p>
        </w:tc>
        <w:tc>
          <w:tcPr>
            <w:tcW w:w="3819" w:type="dxa"/>
            <w:tcBorders>
              <w:top w:val="nil"/>
              <w:left w:val="nil"/>
              <w:bottom w:val="single" w:sz="4" w:space="0" w:color="auto"/>
              <w:right w:val="single" w:sz="4" w:space="0" w:color="auto"/>
            </w:tcBorders>
            <w:shd w:val="clear" w:color="auto" w:fill="auto"/>
            <w:hideMark/>
          </w:tcPr>
          <w:p w:rsidR="00446271" w:rsidRPr="00DA23C5" w:rsidRDefault="00446271" w:rsidP="00446271">
            <w:pPr>
              <w:ind w:firstLineChars="100" w:firstLine="180"/>
              <w:jc w:val="both"/>
              <w:rPr>
                <w:rFonts w:ascii="Verdana" w:hAnsi="Verdana" w:cs="Arial"/>
                <w:sz w:val="18"/>
                <w:szCs w:val="18"/>
                <w:lang w:eastAsia="it-IT"/>
              </w:rPr>
            </w:pPr>
            <w:r w:rsidRPr="00DA23C5">
              <w:rPr>
                <w:rFonts w:ascii="Verdana" w:hAnsi="Verdana" w:cs="Arial"/>
                <w:sz w:val="18"/>
                <w:szCs w:val="18"/>
                <w:lang w:eastAsia="it-IT"/>
              </w:rPr>
              <w:t> </w:t>
            </w:r>
          </w:p>
        </w:tc>
        <w:tc>
          <w:tcPr>
            <w:tcW w:w="4108"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 xml:space="preserve">-Presentazione ad ATERSIR di istanza di modifica straordinaria del </w:t>
            </w:r>
            <w:proofErr w:type="spellStart"/>
            <w:r w:rsidRPr="00DA23C5">
              <w:rPr>
                <w:rFonts w:ascii="Verdana" w:hAnsi="Verdana" w:cs="Arial"/>
                <w:sz w:val="18"/>
                <w:szCs w:val="18"/>
                <w:lang w:eastAsia="it-IT"/>
              </w:rPr>
              <w:t>PdI</w:t>
            </w:r>
            <w:proofErr w:type="spellEnd"/>
            <w:r w:rsidRPr="00DA23C5">
              <w:rPr>
                <w:rFonts w:ascii="Verdana" w:hAnsi="Verdana" w:cs="Arial"/>
                <w:sz w:val="18"/>
                <w:szCs w:val="18"/>
                <w:lang w:eastAsia="it-IT"/>
              </w:rPr>
              <w:t xml:space="preserve"> per il biennio 2022-2023 con inserimento di nuovi interventi e modifiche dell'importo di alcune opere a seguito dell'evoluzione della progettazione/modifiche in corso d'opera. </w:t>
            </w:r>
          </w:p>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-Rispetto dei volumi di investimento programmati per il secondo biennio di regolazione 2022-2023.</w:t>
            </w:r>
          </w:p>
        </w:tc>
        <w:tc>
          <w:tcPr>
            <w:tcW w:w="1274" w:type="dxa"/>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15%</w:t>
            </w:r>
          </w:p>
        </w:tc>
      </w:tr>
      <w:tr w:rsidR="00446271" w:rsidRPr="00DA23C5" w:rsidTr="00DA23C5">
        <w:trPr>
          <w:trHeight w:val="1116"/>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1.b</w:t>
            </w:r>
          </w:p>
        </w:tc>
        <w:tc>
          <w:tcPr>
            <w:tcW w:w="3819" w:type="dxa"/>
            <w:tcBorders>
              <w:top w:val="nil"/>
              <w:left w:val="nil"/>
              <w:bottom w:val="single" w:sz="4" w:space="0" w:color="auto"/>
              <w:right w:val="single" w:sz="4" w:space="0" w:color="auto"/>
            </w:tcBorders>
            <w:shd w:val="clear" w:color="auto" w:fill="auto"/>
            <w:hideMark/>
          </w:tcPr>
          <w:p w:rsidR="00446271" w:rsidRPr="00DA23C5" w:rsidRDefault="00446271" w:rsidP="00446271">
            <w:pPr>
              <w:ind w:firstLineChars="100" w:firstLine="180"/>
              <w:jc w:val="both"/>
              <w:rPr>
                <w:rFonts w:ascii="Verdana" w:hAnsi="Verdana" w:cs="Arial"/>
                <w:sz w:val="18"/>
                <w:szCs w:val="18"/>
                <w:lang w:eastAsia="it-IT"/>
              </w:rPr>
            </w:pPr>
            <w:r w:rsidRPr="00DA23C5">
              <w:rPr>
                <w:rFonts w:ascii="Verdana" w:hAnsi="Verdana" w:cs="Arial"/>
                <w:sz w:val="18"/>
                <w:szCs w:val="18"/>
                <w:lang w:eastAsia="it-IT"/>
              </w:rPr>
              <w:t> </w:t>
            </w:r>
          </w:p>
        </w:tc>
        <w:tc>
          <w:tcPr>
            <w:tcW w:w="4108"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Definizione di un quadro conoscitivo generale, identificazione di ipotesi di intervento e valutazione delle alternative progettuali finalizzate al miglioramento dell'approvvigionamento idropotabile del sistema Acquedotto della Romagna.</w:t>
            </w:r>
          </w:p>
        </w:tc>
        <w:tc>
          <w:tcPr>
            <w:tcW w:w="1274" w:type="dxa"/>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10%</w:t>
            </w:r>
          </w:p>
        </w:tc>
      </w:tr>
    </w:tbl>
    <w:p w:rsidR="00E258DB" w:rsidRPr="00DA23C5" w:rsidRDefault="00AB506B" w:rsidP="00E258DB">
      <w:pPr>
        <w:jc w:val="both"/>
        <w:rPr>
          <w:rFonts w:ascii="Verdana" w:hAnsi="Verdana" w:cs="Arial"/>
          <w:b/>
          <w:sz w:val="18"/>
          <w:szCs w:val="18"/>
          <w:lang w:eastAsia="it-IT"/>
        </w:rPr>
      </w:pPr>
      <w:r w:rsidRPr="00DA23C5">
        <w:rPr>
          <w:rFonts w:ascii="Verdana" w:hAnsi="Verdana" w:cs="Arial"/>
          <w:b/>
          <w:sz w:val="18"/>
          <w:szCs w:val="18"/>
          <w:lang w:eastAsia="it-IT"/>
        </w:rPr>
        <w:t>1.a</w:t>
      </w:r>
      <w:r w:rsidR="00E258DB" w:rsidRPr="00DA23C5">
        <w:rPr>
          <w:rFonts w:ascii="Verdana" w:hAnsi="Verdana" w:cs="Arial"/>
          <w:b/>
          <w:sz w:val="18"/>
          <w:szCs w:val="18"/>
          <w:lang w:eastAsia="it-IT"/>
        </w:rPr>
        <w:t>.1</w:t>
      </w:r>
      <w:r w:rsidR="00E104D4" w:rsidRPr="00DA23C5">
        <w:rPr>
          <w:rFonts w:ascii="Verdana" w:hAnsi="Verdana" w:cs="Arial"/>
          <w:sz w:val="18"/>
          <w:szCs w:val="18"/>
          <w:lang w:eastAsia="it-IT"/>
        </w:rPr>
        <w:t xml:space="preserve"> </w:t>
      </w:r>
      <w:r w:rsidR="00446271" w:rsidRPr="00DA23C5">
        <w:rPr>
          <w:rFonts w:ascii="Verdana" w:hAnsi="Verdana" w:cs="Arial"/>
          <w:sz w:val="18"/>
          <w:szCs w:val="18"/>
          <w:lang w:eastAsia="it-IT"/>
        </w:rPr>
        <w:t xml:space="preserve">Come </w:t>
      </w:r>
      <w:r w:rsidR="00933D96" w:rsidRPr="00DA23C5">
        <w:rPr>
          <w:rFonts w:ascii="Verdana" w:hAnsi="Verdana" w:cs="Arial"/>
          <w:sz w:val="18"/>
          <w:szCs w:val="18"/>
          <w:lang w:eastAsia="it-IT"/>
        </w:rPr>
        <w:t xml:space="preserve">ampiamente illustrato nel precedente paragrafo “Piano degli Interventi” della presente Relazione, la società ha provveduto a trasmettere ad ATERSIR quanto richiesto nell’ambito dell’aggiornamento </w:t>
      </w:r>
      <w:proofErr w:type="spellStart"/>
      <w:r w:rsidR="00933D96" w:rsidRPr="00DA23C5">
        <w:rPr>
          <w:rFonts w:ascii="Verdana" w:hAnsi="Verdana" w:cs="Arial"/>
          <w:sz w:val="18"/>
          <w:szCs w:val="18"/>
          <w:lang w:eastAsia="it-IT"/>
        </w:rPr>
        <w:t>regolatorio</w:t>
      </w:r>
      <w:proofErr w:type="spellEnd"/>
      <w:r w:rsidR="00933D96" w:rsidRPr="00DA23C5">
        <w:rPr>
          <w:rFonts w:ascii="Verdana" w:hAnsi="Verdana" w:cs="Arial"/>
          <w:sz w:val="18"/>
          <w:szCs w:val="18"/>
          <w:lang w:eastAsia="it-IT"/>
        </w:rPr>
        <w:t xml:space="preserve"> del biennio 2022-2023</w:t>
      </w:r>
      <w:r w:rsidR="00736CBD" w:rsidRPr="00DA23C5">
        <w:rPr>
          <w:rFonts w:ascii="Verdana" w:hAnsi="Verdana" w:cs="Arial"/>
          <w:sz w:val="18"/>
          <w:szCs w:val="18"/>
          <w:lang w:eastAsia="it-IT"/>
        </w:rPr>
        <w:t xml:space="preserve"> e l’attività è stata completata da parte di ATERSIR con determina n.69/2022.</w:t>
      </w:r>
      <w:r w:rsidR="00933D96" w:rsidRPr="00DA23C5">
        <w:rPr>
          <w:rFonts w:ascii="Verdana" w:hAnsi="Verdana" w:cs="Arial"/>
          <w:sz w:val="18"/>
          <w:szCs w:val="18"/>
          <w:lang w:eastAsia="it-IT"/>
        </w:rPr>
        <w:t xml:space="preserve"> </w:t>
      </w:r>
      <w:r w:rsidR="00E258DB" w:rsidRPr="00DA23C5">
        <w:rPr>
          <w:rFonts w:ascii="Verdana" w:hAnsi="Verdana" w:cs="Arial"/>
          <w:b/>
          <w:sz w:val="18"/>
          <w:szCs w:val="18"/>
          <w:lang w:eastAsia="it-IT"/>
        </w:rPr>
        <w:t>% raggiungimento obiettivo: 100%</w:t>
      </w:r>
    </w:p>
    <w:p w:rsidR="00933D96" w:rsidRPr="00DA23C5" w:rsidRDefault="00E258DB" w:rsidP="00933D96">
      <w:pPr>
        <w:jc w:val="both"/>
        <w:rPr>
          <w:rFonts w:ascii="Verdana" w:hAnsi="Verdana"/>
          <w:b/>
          <w:color w:val="FF0000"/>
          <w:sz w:val="18"/>
          <w:szCs w:val="18"/>
        </w:rPr>
      </w:pPr>
      <w:r w:rsidRPr="00DA23C5">
        <w:rPr>
          <w:rFonts w:ascii="Verdana" w:hAnsi="Verdana" w:cs="Arial"/>
          <w:b/>
          <w:sz w:val="18"/>
          <w:szCs w:val="18"/>
          <w:lang w:eastAsia="it-IT"/>
        </w:rPr>
        <w:t>1.a.2</w:t>
      </w:r>
      <w:r w:rsidRPr="00DA23C5">
        <w:rPr>
          <w:rFonts w:ascii="Verdana" w:hAnsi="Verdana" w:cs="Arial"/>
          <w:sz w:val="18"/>
          <w:szCs w:val="18"/>
          <w:lang w:eastAsia="it-IT"/>
        </w:rPr>
        <w:t xml:space="preserve"> </w:t>
      </w:r>
      <w:r w:rsidR="00933D96" w:rsidRPr="00DA23C5">
        <w:rPr>
          <w:rFonts w:ascii="Verdana" w:hAnsi="Verdana" w:cs="Arial"/>
          <w:sz w:val="18"/>
          <w:szCs w:val="18"/>
          <w:lang w:eastAsia="it-IT"/>
        </w:rPr>
        <w:t>Come evidenziato nel</w:t>
      </w:r>
      <w:r w:rsidR="00736CBD" w:rsidRPr="00DA23C5">
        <w:rPr>
          <w:rFonts w:ascii="Verdana" w:hAnsi="Verdana" w:cs="Arial"/>
          <w:sz w:val="18"/>
          <w:szCs w:val="18"/>
          <w:lang w:eastAsia="it-IT"/>
        </w:rPr>
        <w:t xml:space="preserve"> paragrafo “Piano degli Interventi” della </w:t>
      </w:r>
      <w:r w:rsidR="00052418" w:rsidRPr="00DA23C5">
        <w:rPr>
          <w:rFonts w:ascii="Verdana" w:hAnsi="Verdana" w:cs="Arial"/>
          <w:sz w:val="18"/>
          <w:szCs w:val="18"/>
          <w:lang w:eastAsia="it-IT"/>
        </w:rPr>
        <w:t>presente Relazione</w:t>
      </w:r>
      <w:r w:rsidR="00933D96" w:rsidRPr="00DA23C5">
        <w:rPr>
          <w:rFonts w:ascii="Verdana" w:hAnsi="Verdana" w:cs="Arial"/>
          <w:sz w:val="18"/>
          <w:szCs w:val="18"/>
          <w:lang w:eastAsia="it-IT"/>
        </w:rPr>
        <w:t xml:space="preserve"> </w:t>
      </w:r>
      <w:r w:rsidR="00736CBD" w:rsidRPr="00DA23C5">
        <w:rPr>
          <w:rFonts w:ascii="Verdana" w:hAnsi="Verdana" w:cs="Arial"/>
          <w:sz w:val="18"/>
          <w:szCs w:val="18"/>
          <w:lang w:eastAsia="it-IT"/>
        </w:rPr>
        <w:t xml:space="preserve">il preconsuntivo 2022 evidenzia investimenti per 12,1 mln/euro </w:t>
      </w:r>
      <w:proofErr w:type="gramStart"/>
      <w:r w:rsidR="00736CBD" w:rsidRPr="00DA23C5">
        <w:rPr>
          <w:rFonts w:ascii="Verdana" w:hAnsi="Verdana" w:cs="Arial"/>
          <w:sz w:val="18"/>
          <w:szCs w:val="18"/>
          <w:lang w:eastAsia="it-IT"/>
        </w:rPr>
        <w:t xml:space="preserve">con </w:t>
      </w:r>
      <w:r w:rsidR="00933D96" w:rsidRPr="00DA23C5">
        <w:rPr>
          <w:rFonts w:ascii="Verdana" w:hAnsi="Verdana" w:cs="Arial"/>
          <w:sz w:val="18"/>
          <w:szCs w:val="18"/>
          <w:lang w:eastAsia="it-IT"/>
        </w:rPr>
        <w:t xml:space="preserve"> uno</w:t>
      </w:r>
      <w:proofErr w:type="gramEnd"/>
      <w:r w:rsidR="00933D96" w:rsidRPr="00DA23C5">
        <w:rPr>
          <w:rFonts w:ascii="Verdana" w:hAnsi="Verdana" w:cs="Arial"/>
          <w:sz w:val="18"/>
          <w:szCs w:val="18"/>
          <w:lang w:eastAsia="it-IT"/>
        </w:rPr>
        <w:t xml:space="preserve"> scostamento negativo </w:t>
      </w:r>
      <w:r w:rsidRPr="00DA23C5">
        <w:rPr>
          <w:rFonts w:ascii="Verdana" w:hAnsi="Verdana" w:cs="Arial"/>
          <w:sz w:val="18"/>
          <w:szCs w:val="18"/>
          <w:lang w:eastAsia="it-IT"/>
        </w:rPr>
        <w:t>rispetto al</w:t>
      </w:r>
      <w:r w:rsidR="00933D96" w:rsidRPr="00DA23C5">
        <w:rPr>
          <w:rFonts w:ascii="Verdana" w:hAnsi="Verdana" w:cs="Arial"/>
          <w:sz w:val="18"/>
          <w:szCs w:val="18"/>
          <w:lang w:eastAsia="it-IT"/>
        </w:rPr>
        <w:t xml:space="preserve"> </w:t>
      </w:r>
      <w:proofErr w:type="spellStart"/>
      <w:r w:rsidR="00933D96" w:rsidRPr="00DA23C5">
        <w:rPr>
          <w:rFonts w:ascii="Verdana" w:hAnsi="Verdana" w:cs="Arial"/>
          <w:sz w:val="18"/>
          <w:szCs w:val="18"/>
          <w:lang w:eastAsia="it-IT"/>
        </w:rPr>
        <w:t>PdI</w:t>
      </w:r>
      <w:proofErr w:type="spellEnd"/>
      <w:r w:rsidR="00933D96" w:rsidRPr="00DA23C5">
        <w:rPr>
          <w:rFonts w:ascii="Verdana" w:hAnsi="Verdana" w:cs="Arial"/>
          <w:sz w:val="18"/>
          <w:szCs w:val="18"/>
          <w:lang w:eastAsia="it-IT"/>
        </w:rPr>
        <w:t xml:space="preserve"> </w:t>
      </w:r>
      <w:r w:rsidR="001619BF" w:rsidRPr="00DA23C5">
        <w:rPr>
          <w:rFonts w:ascii="Verdana" w:hAnsi="Verdana" w:cs="Arial"/>
          <w:sz w:val="18"/>
          <w:szCs w:val="18"/>
          <w:lang w:eastAsia="it-IT"/>
        </w:rPr>
        <w:t xml:space="preserve">vigente per il 2022 (approvato con delibera ATERSIR 69/2022) </w:t>
      </w:r>
      <w:r w:rsidR="00933D96" w:rsidRPr="00DA23C5">
        <w:rPr>
          <w:rFonts w:ascii="Verdana" w:hAnsi="Verdana" w:cs="Arial"/>
          <w:sz w:val="18"/>
          <w:szCs w:val="18"/>
          <w:lang w:eastAsia="it-IT"/>
        </w:rPr>
        <w:t xml:space="preserve">di circa 0,8 mln/euro; in sede di rendicontazione di bilancio 2022 si verificherà se tale scostamento sarà stato in parte recuperato. </w:t>
      </w:r>
    </w:p>
    <w:p w:rsidR="00446271" w:rsidRPr="00DA23C5" w:rsidRDefault="009D537A" w:rsidP="00446271">
      <w:pPr>
        <w:jc w:val="both"/>
        <w:rPr>
          <w:rFonts w:ascii="Verdana" w:hAnsi="Verdana" w:cs="Arial"/>
          <w:b/>
          <w:color w:val="FF0000"/>
          <w:sz w:val="18"/>
          <w:szCs w:val="18"/>
          <w:lang w:eastAsia="it-IT"/>
        </w:rPr>
      </w:pPr>
      <w:r w:rsidRPr="00DA23C5">
        <w:rPr>
          <w:rFonts w:ascii="Verdana" w:hAnsi="Verdana" w:cs="Arial"/>
          <w:b/>
          <w:sz w:val="18"/>
          <w:szCs w:val="18"/>
          <w:lang w:eastAsia="it-IT"/>
        </w:rPr>
        <w:t>% raggiungimento obiettivo:</w:t>
      </w:r>
      <w:r w:rsidR="001619BF" w:rsidRPr="00DA23C5">
        <w:rPr>
          <w:rFonts w:ascii="Verdana" w:hAnsi="Verdana" w:cs="Arial"/>
          <w:b/>
          <w:sz w:val="18"/>
          <w:szCs w:val="18"/>
          <w:lang w:eastAsia="it-IT"/>
        </w:rPr>
        <w:t xml:space="preserve"> 93%</w:t>
      </w:r>
      <w:r w:rsidR="00933D96" w:rsidRPr="00DA23C5">
        <w:rPr>
          <w:rFonts w:ascii="Verdana" w:hAnsi="Verdana" w:cs="Arial"/>
          <w:b/>
          <w:color w:val="FF0000"/>
          <w:sz w:val="18"/>
          <w:szCs w:val="18"/>
          <w:lang w:eastAsia="it-IT"/>
        </w:rPr>
        <w:t xml:space="preserve"> </w:t>
      </w:r>
    </w:p>
    <w:p w:rsidR="009D537A" w:rsidRPr="00DA23C5" w:rsidRDefault="00736CBD" w:rsidP="009D537A">
      <w:pPr>
        <w:jc w:val="both"/>
        <w:rPr>
          <w:rFonts w:ascii="Verdana" w:hAnsi="Verdana" w:cs="Arial"/>
          <w:b/>
          <w:sz w:val="18"/>
          <w:szCs w:val="18"/>
          <w:lang w:eastAsia="it-IT"/>
        </w:rPr>
      </w:pPr>
      <w:r w:rsidRPr="00DA23C5">
        <w:rPr>
          <w:rFonts w:ascii="Verdana" w:hAnsi="Verdana"/>
          <w:sz w:val="18"/>
          <w:szCs w:val="18"/>
        </w:rPr>
        <w:t xml:space="preserve"> </w:t>
      </w:r>
      <w:r w:rsidR="00AB506B" w:rsidRPr="00DA23C5">
        <w:rPr>
          <w:rFonts w:ascii="Verdana" w:hAnsi="Verdana" w:cs="Arial"/>
          <w:b/>
          <w:sz w:val="18"/>
          <w:szCs w:val="18"/>
          <w:lang w:eastAsia="it-IT"/>
        </w:rPr>
        <w:t>1.b</w:t>
      </w:r>
      <w:r w:rsidR="00AB506B" w:rsidRPr="00DA23C5">
        <w:rPr>
          <w:rFonts w:ascii="Verdana" w:hAnsi="Verdana" w:cs="Arial"/>
          <w:sz w:val="18"/>
          <w:szCs w:val="18"/>
          <w:lang w:eastAsia="it-IT"/>
        </w:rPr>
        <w:t xml:space="preserve"> </w:t>
      </w:r>
      <w:r w:rsidR="004E588A" w:rsidRPr="00DA23C5">
        <w:rPr>
          <w:rFonts w:ascii="Verdana" w:hAnsi="Verdana" w:cs="Arial"/>
          <w:sz w:val="18"/>
          <w:szCs w:val="18"/>
          <w:lang w:eastAsia="it-IT"/>
        </w:rPr>
        <w:t xml:space="preserve">Lo studio relativo alla definizione di un quadro conoscitivo generale, alla identificazione di ipotesi di </w:t>
      </w:r>
      <w:proofErr w:type="gramStart"/>
      <w:r w:rsidR="004E588A" w:rsidRPr="00DA23C5">
        <w:rPr>
          <w:rFonts w:ascii="Verdana" w:hAnsi="Verdana" w:cs="Arial"/>
          <w:sz w:val="18"/>
          <w:szCs w:val="18"/>
          <w:lang w:eastAsia="it-IT"/>
        </w:rPr>
        <w:t>intervento  e</w:t>
      </w:r>
      <w:proofErr w:type="gramEnd"/>
      <w:r w:rsidR="004E588A" w:rsidRPr="00DA23C5">
        <w:rPr>
          <w:rFonts w:ascii="Verdana" w:hAnsi="Verdana" w:cs="Arial"/>
          <w:sz w:val="18"/>
          <w:szCs w:val="18"/>
          <w:lang w:eastAsia="it-IT"/>
        </w:rPr>
        <w:t xml:space="preserve"> di alternative progettuali </w:t>
      </w:r>
      <w:r w:rsidR="00446271" w:rsidRPr="00DA23C5">
        <w:rPr>
          <w:rFonts w:ascii="Verdana" w:hAnsi="Verdana" w:cs="Arial"/>
          <w:sz w:val="18"/>
          <w:szCs w:val="18"/>
          <w:lang w:eastAsia="it-IT"/>
        </w:rPr>
        <w:t xml:space="preserve"> </w:t>
      </w:r>
      <w:r w:rsidR="004E588A" w:rsidRPr="00DA23C5">
        <w:rPr>
          <w:rFonts w:ascii="Verdana" w:hAnsi="Verdana" w:cs="Arial"/>
          <w:sz w:val="18"/>
          <w:szCs w:val="18"/>
          <w:lang w:eastAsia="it-IT"/>
        </w:rPr>
        <w:t>finalizzate al miglioramento idropotabile dell’</w:t>
      </w:r>
      <w:proofErr w:type="spellStart"/>
      <w:r w:rsidR="004E588A" w:rsidRPr="00DA23C5">
        <w:rPr>
          <w:rFonts w:ascii="Verdana" w:hAnsi="Verdana" w:cs="Arial"/>
          <w:sz w:val="18"/>
          <w:szCs w:val="18"/>
          <w:lang w:eastAsia="it-IT"/>
        </w:rPr>
        <w:t>AdR</w:t>
      </w:r>
      <w:proofErr w:type="spellEnd"/>
      <w:r w:rsidR="004E588A" w:rsidRPr="00DA23C5">
        <w:rPr>
          <w:rFonts w:ascii="Verdana" w:hAnsi="Verdana" w:cs="Arial"/>
          <w:sz w:val="18"/>
          <w:szCs w:val="18"/>
          <w:lang w:eastAsia="it-IT"/>
        </w:rPr>
        <w:t xml:space="preserve"> è in corso di conclusione</w:t>
      </w:r>
      <w:r w:rsidR="001619BF" w:rsidRPr="00DA23C5">
        <w:rPr>
          <w:rFonts w:ascii="Verdana" w:hAnsi="Verdana" w:cs="Arial"/>
          <w:sz w:val="18"/>
          <w:szCs w:val="18"/>
          <w:lang w:eastAsia="it-IT"/>
        </w:rPr>
        <w:t xml:space="preserve"> e la disponibilità </w:t>
      </w:r>
      <w:r w:rsidR="004E588A" w:rsidRPr="00DA23C5">
        <w:rPr>
          <w:rFonts w:ascii="Verdana" w:hAnsi="Verdana" w:cs="Arial"/>
          <w:sz w:val="18"/>
          <w:szCs w:val="18"/>
          <w:lang w:eastAsia="it-IT"/>
        </w:rPr>
        <w:t xml:space="preserve">del report </w:t>
      </w:r>
      <w:r w:rsidR="0030749E" w:rsidRPr="00DA23C5">
        <w:rPr>
          <w:rFonts w:ascii="Verdana" w:hAnsi="Verdana" w:cs="Arial"/>
          <w:sz w:val="18"/>
          <w:szCs w:val="18"/>
          <w:lang w:eastAsia="it-IT"/>
        </w:rPr>
        <w:t xml:space="preserve">è </w:t>
      </w:r>
      <w:r w:rsidR="001619BF" w:rsidRPr="00DA23C5">
        <w:rPr>
          <w:rFonts w:ascii="Verdana" w:hAnsi="Verdana" w:cs="Arial"/>
          <w:sz w:val="18"/>
          <w:szCs w:val="18"/>
          <w:lang w:eastAsia="it-IT"/>
        </w:rPr>
        <w:t xml:space="preserve">prevista </w:t>
      </w:r>
      <w:r w:rsidR="004E588A" w:rsidRPr="00DA23C5">
        <w:rPr>
          <w:rFonts w:ascii="Verdana" w:hAnsi="Verdana" w:cs="Arial"/>
          <w:sz w:val="18"/>
          <w:szCs w:val="18"/>
          <w:lang w:eastAsia="it-IT"/>
        </w:rPr>
        <w:t>nel mese di dicembre.</w:t>
      </w:r>
      <w:r w:rsidR="0030749E" w:rsidRPr="00DA23C5">
        <w:rPr>
          <w:rFonts w:ascii="Verdana" w:hAnsi="Verdana" w:cs="Arial"/>
          <w:b/>
          <w:sz w:val="18"/>
          <w:szCs w:val="18"/>
          <w:lang w:eastAsia="it-IT"/>
        </w:rPr>
        <w:t xml:space="preserve"> </w:t>
      </w:r>
      <w:r w:rsidR="009D537A" w:rsidRPr="00DA23C5">
        <w:rPr>
          <w:rFonts w:ascii="Verdana" w:hAnsi="Verdana" w:cs="Arial"/>
          <w:b/>
          <w:sz w:val="18"/>
          <w:szCs w:val="18"/>
          <w:lang w:eastAsia="it-IT"/>
        </w:rPr>
        <w:t xml:space="preserve">% raggiungimento obiettivo: </w:t>
      </w:r>
      <w:r w:rsidR="004E588A" w:rsidRPr="00DA23C5">
        <w:rPr>
          <w:rFonts w:ascii="Verdana" w:hAnsi="Verdana" w:cs="Arial"/>
          <w:b/>
          <w:sz w:val="18"/>
          <w:szCs w:val="18"/>
          <w:lang w:eastAsia="it-IT"/>
        </w:rPr>
        <w:t>100%</w:t>
      </w:r>
    </w:p>
    <w:tbl>
      <w:tblPr>
        <w:tblW w:w="9639" w:type="dxa"/>
        <w:tblInd w:w="-5" w:type="dxa"/>
        <w:tblCellMar>
          <w:left w:w="70" w:type="dxa"/>
          <w:right w:w="70" w:type="dxa"/>
        </w:tblCellMar>
        <w:tblLook w:val="04A0" w:firstRow="1" w:lastRow="0" w:firstColumn="1" w:lastColumn="0" w:noHBand="0" w:noVBand="1"/>
      </w:tblPr>
      <w:tblGrid>
        <w:gridCol w:w="433"/>
        <w:gridCol w:w="3971"/>
        <w:gridCol w:w="3961"/>
        <w:gridCol w:w="1274"/>
      </w:tblGrid>
      <w:tr w:rsidR="00446271" w:rsidRPr="00DA23C5" w:rsidTr="00DA23C5">
        <w:trPr>
          <w:trHeight w:val="263"/>
        </w:trPr>
        <w:tc>
          <w:tcPr>
            <w:tcW w:w="4404" w:type="dxa"/>
            <w:gridSpan w:val="2"/>
            <w:tcBorders>
              <w:top w:val="single" w:sz="4" w:space="0" w:color="auto"/>
              <w:left w:val="single" w:sz="4" w:space="0" w:color="auto"/>
              <w:bottom w:val="nil"/>
              <w:right w:val="single" w:sz="4" w:space="0" w:color="auto"/>
            </w:tcBorders>
            <w:shd w:val="clear" w:color="auto" w:fill="auto"/>
            <w:vAlign w:val="center"/>
            <w:hideMark/>
          </w:tcPr>
          <w:p w:rsidR="00446271" w:rsidRPr="00DA23C5" w:rsidRDefault="00446271" w:rsidP="00446271">
            <w:pPr>
              <w:rPr>
                <w:rFonts w:ascii="Verdana" w:hAnsi="Verdana" w:cs="Arial"/>
                <w:b/>
                <w:bCs/>
                <w:sz w:val="18"/>
                <w:szCs w:val="18"/>
                <w:lang w:eastAsia="it-IT"/>
              </w:rPr>
            </w:pPr>
            <w:r w:rsidRPr="00DA23C5">
              <w:rPr>
                <w:rFonts w:ascii="Verdana" w:hAnsi="Verdana" w:cs="Arial"/>
                <w:b/>
                <w:bCs/>
                <w:sz w:val="18"/>
                <w:szCs w:val="18"/>
                <w:lang w:eastAsia="it-IT"/>
              </w:rPr>
              <w:t> OBIETTIVO STRATEGICO N.2</w:t>
            </w:r>
          </w:p>
        </w:tc>
        <w:tc>
          <w:tcPr>
            <w:tcW w:w="3961" w:type="dxa"/>
            <w:tcBorders>
              <w:top w:val="single" w:sz="4" w:space="0" w:color="auto"/>
              <w:left w:val="nil"/>
              <w:bottom w:val="single" w:sz="4" w:space="0" w:color="000000"/>
              <w:right w:val="single" w:sz="4" w:space="0" w:color="auto"/>
            </w:tcBorders>
            <w:shd w:val="clear" w:color="auto" w:fill="auto"/>
            <w:vAlign w:val="center"/>
            <w:hideMark/>
          </w:tcPr>
          <w:p w:rsidR="00446271" w:rsidRPr="00DA23C5" w:rsidRDefault="00446271" w:rsidP="00446271">
            <w:pPr>
              <w:jc w:val="center"/>
              <w:rPr>
                <w:rFonts w:ascii="Verdana" w:hAnsi="Verdana" w:cs="Arial"/>
                <w:b/>
                <w:bCs/>
                <w:sz w:val="18"/>
                <w:szCs w:val="18"/>
                <w:lang w:eastAsia="it-IT"/>
              </w:rPr>
            </w:pPr>
            <w:r w:rsidRPr="00DA23C5">
              <w:rPr>
                <w:rFonts w:ascii="Verdana" w:hAnsi="Verdana" w:cs="Arial"/>
                <w:b/>
                <w:bCs/>
                <w:sz w:val="18"/>
                <w:szCs w:val="18"/>
                <w:lang w:eastAsia="it-IT"/>
              </w:rPr>
              <w:t>AZIONI</w:t>
            </w:r>
          </w:p>
        </w:tc>
        <w:tc>
          <w:tcPr>
            <w:tcW w:w="12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46271" w:rsidRPr="00DA23C5" w:rsidRDefault="00446271" w:rsidP="00446271">
            <w:pPr>
              <w:jc w:val="center"/>
              <w:rPr>
                <w:rFonts w:ascii="Verdana" w:hAnsi="Verdana" w:cs="Arial"/>
                <w:b/>
                <w:bCs/>
                <w:sz w:val="18"/>
                <w:szCs w:val="18"/>
                <w:lang w:eastAsia="it-IT"/>
              </w:rPr>
            </w:pPr>
            <w:proofErr w:type="gramStart"/>
            <w:r w:rsidRPr="00DA23C5">
              <w:rPr>
                <w:rFonts w:ascii="Verdana" w:hAnsi="Verdana" w:cs="Arial"/>
                <w:b/>
                <w:bCs/>
                <w:sz w:val="18"/>
                <w:szCs w:val="18"/>
                <w:lang w:eastAsia="it-IT"/>
              </w:rPr>
              <w:t>pesi</w:t>
            </w:r>
            <w:proofErr w:type="gramEnd"/>
            <w:r w:rsidRPr="00DA23C5">
              <w:rPr>
                <w:rFonts w:ascii="Verdana" w:hAnsi="Verdana" w:cs="Arial"/>
                <w:b/>
                <w:bCs/>
                <w:sz w:val="18"/>
                <w:szCs w:val="18"/>
                <w:lang w:eastAsia="it-IT"/>
              </w:rPr>
              <w:t xml:space="preserve"> % </w:t>
            </w:r>
          </w:p>
        </w:tc>
      </w:tr>
      <w:tr w:rsidR="00446271" w:rsidRPr="00DA23C5" w:rsidTr="00DA23C5">
        <w:trPr>
          <w:trHeight w:val="679"/>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2</w:t>
            </w:r>
          </w:p>
        </w:tc>
        <w:tc>
          <w:tcPr>
            <w:tcW w:w="3971"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bCs/>
                <w:sz w:val="18"/>
                <w:szCs w:val="18"/>
                <w:lang w:eastAsia="it-IT"/>
              </w:rPr>
            </w:pPr>
            <w:r w:rsidRPr="00DA23C5">
              <w:rPr>
                <w:rFonts w:ascii="Verdana" w:hAnsi="Verdana" w:cs="Arial"/>
                <w:bCs/>
                <w:sz w:val="18"/>
                <w:szCs w:val="18"/>
                <w:lang w:eastAsia="it-IT"/>
              </w:rPr>
              <w:t>Realizzazione del progetto di costruzione e gestione delle nuove "Case dell'acqua"</w:t>
            </w:r>
          </w:p>
        </w:tc>
        <w:tc>
          <w:tcPr>
            <w:tcW w:w="3961" w:type="dxa"/>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 </w:t>
            </w:r>
          </w:p>
        </w:tc>
        <w:tc>
          <w:tcPr>
            <w:tcW w:w="1274"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center"/>
              <w:rPr>
                <w:rFonts w:ascii="Verdana" w:hAnsi="Verdana" w:cs="Arial"/>
                <w:bCs/>
                <w:sz w:val="18"/>
                <w:szCs w:val="18"/>
                <w:lang w:eastAsia="it-IT"/>
              </w:rPr>
            </w:pPr>
            <w:r w:rsidRPr="00DA23C5">
              <w:rPr>
                <w:rFonts w:ascii="Verdana" w:hAnsi="Verdana" w:cs="Arial"/>
                <w:bCs/>
                <w:sz w:val="18"/>
                <w:szCs w:val="18"/>
                <w:lang w:eastAsia="it-IT"/>
              </w:rPr>
              <w:t>10%</w:t>
            </w:r>
          </w:p>
        </w:tc>
      </w:tr>
      <w:tr w:rsidR="00446271" w:rsidRPr="00DA23C5" w:rsidTr="00DA23C5">
        <w:trPr>
          <w:trHeight w:val="405"/>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2.a</w:t>
            </w:r>
          </w:p>
        </w:tc>
        <w:tc>
          <w:tcPr>
            <w:tcW w:w="3971" w:type="dxa"/>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ind w:firstLineChars="100" w:firstLine="180"/>
              <w:jc w:val="both"/>
              <w:rPr>
                <w:rFonts w:ascii="Verdana" w:hAnsi="Verdana" w:cs="Arial"/>
                <w:sz w:val="18"/>
                <w:szCs w:val="18"/>
                <w:lang w:eastAsia="it-IT"/>
              </w:rPr>
            </w:pPr>
            <w:r w:rsidRPr="00DA23C5">
              <w:rPr>
                <w:rFonts w:ascii="Verdana" w:hAnsi="Verdana" w:cs="Arial"/>
                <w:sz w:val="18"/>
                <w:szCs w:val="18"/>
                <w:lang w:eastAsia="it-IT"/>
              </w:rPr>
              <w:t> </w:t>
            </w:r>
          </w:p>
        </w:tc>
        <w:tc>
          <w:tcPr>
            <w:tcW w:w="3961"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 xml:space="preserve">Aggiornamento del progetto (ultimo aggiornamento 2019), con particolare riferimento al business </w:t>
            </w:r>
            <w:proofErr w:type="spellStart"/>
            <w:r w:rsidRPr="00DA23C5">
              <w:rPr>
                <w:rFonts w:ascii="Verdana" w:hAnsi="Verdana" w:cs="Arial"/>
                <w:sz w:val="18"/>
                <w:szCs w:val="18"/>
                <w:lang w:eastAsia="it-IT"/>
              </w:rPr>
              <w:t>plan</w:t>
            </w:r>
            <w:proofErr w:type="spellEnd"/>
            <w:r w:rsidRPr="00DA23C5">
              <w:rPr>
                <w:rFonts w:ascii="Verdana" w:hAnsi="Verdana" w:cs="Arial"/>
                <w:sz w:val="18"/>
                <w:szCs w:val="18"/>
                <w:lang w:eastAsia="it-IT"/>
              </w:rPr>
              <w:t xml:space="preserve">. </w:t>
            </w:r>
          </w:p>
        </w:tc>
        <w:tc>
          <w:tcPr>
            <w:tcW w:w="1274" w:type="dxa"/>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5%</w:t>
            </w:r>
          </w:p>
        </w:tc>
      </w:tr>
      <w:tr w:rsidR="00446271" w:rsidRPr="00DA23C5" w:rsidTr="00DA23C5">
        <w:trPr>
          <w:trHeight w:val="497"/>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2.b</w:t>
            </w:r>
          </w:p>
        </w:tc>
        <w:tc>
          <w:tcPr>
            <w:tcW w:w="3971" w:type="dxa"/>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ind w:firstLineChars="100" w:firstLine="180"/>
              <w:jc w:val="both"/>
              <w:rPr>
                <w:rFonts w:ascii="Verdana" w:hAnsi="Verdana" w:cs="Arial"/>
                <w:sz w:val="18"/>
                <w:szCs w:val="18"/>
                <w:lang w:eastAsia="it-IT"/>
              </w:rPr>
            </w:pPr>
            <w:r w:rsidRPr="00DA23C5">
              <w:rPr>
                <w:rFonts w:ascii="Verdana" w:hAnsi="Verdana" w:cs="Arial"/>
                <w:sz w:val="18"/>
                <w:szCs w:val="18"/>
                <w:lang w:eastAsia="it-IT"/>
              </w:rPr>
              <w:t> </w:t>
            </w:r>
          </w:p>
        </w:tc>
        <w:tc>
          <w:tcPr>
            <w:tcW w:w="3961"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 xml:space="preserve">Redazione della documentazione per esperimento gara di appalto. </w:t>
            </w:r>
          </w:p>
        </w:tc>
        <w:tc>
          <w:tcPr>
            <w:tcW w:w="1274" w:type="dxa"/>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5%</w:t>
            </w:r>
          </w:p>
        </w:tc>
      </w:tr>
    </w:tbl>
    <w:p w:rsidR="00511E61" w:rsidRPr="00DA23C5" w:rsidRDefault="008D75CA" w:rsidP="00DA23C5">
      <w:pPr>
        <w:jc w:val="both"/>
        <w:rPr>
          <w:rFonts w:ascii="Verdana" w:hAnsi="Verdana" w:cs="Arial"/>
          <w:b/>
          <w:sz w:val="18"/>
          <w:szCs w:val="18"/>
          <w:lang w:eastAsia="it-IT"/>
        </w:rPr>
      </w:pPr>
      <w:r w:rsidRPr="00DA23C5">
        <w:rPr>
          <w:rFonts w:ascii="Verdana" w:hAnsi="Verdana" w:cs="Arial"/>
          <w:b/>
          <w:sz w:val="18"/>
          <w:szCs w:val="18"/>
          <w:lang w:eastAsia="it-IT"/>
        </w:rPr>
        <w:t xml:space="preserve">2.a </w:t>
      </w:r>
      <w:r w:rsidRPr="00DA23C5">
        <w:rPr>
          <w:rFonts w:ascii="Verdana" w:hAnsi="Verdana" w:cs="Arial"/>
          <w:sz w:val="18"/>
          <w:szCs w:val="18"/>
          <w:lang w:eastAsia="it-IT"/>
        </w:rPr>
        <w:t xml:space="preserve">Il Progetto Case dell’Acqua è stato </w:t>
      </w:r>
      <w:r w:rsidR="00AD7D23" w:rsidRPr="00DA23C5">
        <w:rPr>
          <w:rFonts w:ascii="Verdana" w:hAnsi="Verdana" w:cs="Arial"/>
          <w:sz w:val="18"/>
          <w:szCs w:val="18"/>
          <w:lang w:eastAsia="it-IT"/>
        </w:rPr>
        <w:t xml:space="preserve">rivisto e aggiornato in termini di contenuti, con particolare riferimento alla redazione del business </w:t>
      </w:r>
      <w:proofErr w:type="spellStart"/>
      <w:r w:rsidR="00AD7D23" w:rsidRPr="00DA23C5">
        <w:rPr>
          <w:rFonts w:ascii="Verdana" w:hAnsi="Verdana" w:cs="Arial"/>
          <w:sz w:val="18"/>
          <w:szCs w:val="18"/>
          <w:lang w:eastAsia="it-IT"/>
        </w:rPr>
        <w:t>plan</w:t>
      </w:r>
      <w:proofErr w:type="spellEnd"/>
      <w:r w:rsidR="00AD7D23" w:rsidRPr="00DA23C5">
        <w:rPr>
          <w:rFonts w:ascii="Verdana" w:hAnsi="Verdana" w:cs="Arial"/>
          <w:sz w:val="18"/>
          <w:szCs w:val="18"/>
          <w:lang w:eastAsia="it-IT"/>
        </w:rPr>
        <w:t xml:space="preserve"> e alla verifica della sostenibilità economica e finanziaria. Lo stesso progetto è stato approvato dal </w:t>
      </w:r>
      <w:proofErr w:type="spellStart"/>
      <w:r w:rsidR="00AD7D23" w:rsidRPr="00DA23C5">
        <w:rPr>
          <w:rFonts w:ascii="Verdana" w:hAnsi="Verdana" w:cs="Arial"/>
          <w:sz w:val="18"/>
          <w:szCs w:val="18"/>
          <w:lang w:eastAsia="it-IT"/>
        </w:rPr>
        <w:t>CdA</w:t>
      </w:r>
      <w:proofErr w:type="spellEnd"/>
      <w:r w:rsidR="00AD7D23" w:rsidRPr="00DA23C5">
        <w:rPr>
          <w:rFonts w:ascii="Verdana" w:hAnsi="Verdana" w:cs="Arial"/>
          <w:sz w:val="18"/>
          <w:szCs w:val="18"/>
          <w:lang w:eastAsia="it-IT"/>
        </w:rPr>
        <w:t xml:space="preserve"> con delibera n. 111</w:t>
      </w:r>
      <w:r w:rsidR="0030749E" w:rsidRPr="00DA23C5">
        <w:rPr>
          <w:rFonts w:ascii="Verdana" w:hAnsi="Verdana" w:cs="Arial"/>
          <w:sz w:val="18"/>
          <w:szCs w:val="18"/>
          <w:lang w:eastAsia="it-IT"/>
        </w:rPr>
        <w:t xml:space="preserve"> del 27 settembre 2022.</w:t>
      </w:r>
      <w:r w:rsidR="0030749E" w:rsidRPr="00DA23C5">
        <w:rPr>
          <w:rFonts w:ascii="Verdana" w:hAnsi="Verdana" w:cs="Arial"/>
          <w:b/>
          <w:sz w:val="18"/>
          <w:szCs w:val="18"/>
          <w:lang w:eastAsia="it-IT"/>
        </w:rPr>
        <w:t xml:space="preserve"> </w:t>
      </w:r>
      <w:r w:rsidR="00511E61" w:rsidRPr="00DA23C5">
        <w:rPr>
          <w:rFonts w:ascii="Verdana" w:hAnsi="Verdana" w:cs="Arial"/>
          <w:b/>
          <w:sz w:val="18"/>
          <w:szCs w:val="18"/>
          <w:lang w:eastAsia="it-IT"/>
        </w:rPr>
        <w:t>% raggiungimento obiettivo: 100%</w:t>
      </w:r>
    </w:p>
    <w:p w:rsidR="00AD7D23" w:rsidRPr="00DA23C5" w:rsidRDefault="00AD7D23" w:rsidP="009D537A">
      <w:pPr>
        <w:jc w:val="both"/>
        <w:rPr>
          <w:rFonts w:ascii="Verdana" w:hAnsi="Verdana" w:cs="Arial"/>
          <w:sz w:val="18"/>
          <w:szCs w:val="18"/>
          <w:lang w:eastAsia="it-IT"/>
        </w:rPr>
      </w:pPr>
      <w:r w:rsidRPr="00DA23C5">
        <w:rPr>
          <w:rFonts w:ascii="Verdana" w:hAnsi="Verdana" w:cs="Arial"/>
          <w:b/>
          <w:sz w:val="18"/>
          <w:szCs w:val="18"/>
          <w:lang w:eastAsia="it-IT"/>
        </w:rPr>
        <w:t>2.b</w:t>
      </w:r>
      <w:r w:rsidRPr="00DA23C5">
        <w:rPr>
          <w:rFonts w:ascii="Verdana" w:hAnsi="Verdana" w:cs="Arial"/>
          <w:sz w:val="18"/>
          <w:szCs w:val="18"/>
          <w:lang w:eastAsia="it-IT"/>
        </w:rPr>
        <w:t xml:space="preserve"> Gli indirizzi forniti nel Coordinamento Soci del 26 ottobre 2022 prevedono che, prima di procedere all’esperimento delle procedure di gara per la concessione </w:t>
      </w:r>
      <w:r w:rsidR="005D54D4" w:rsidRPr="00DA23C5">
        <w:rPr>
          <w:rFonts w:ascii="Verdana" w:hAnsi="Verdana" w:cs="Arial"/>
          <w:sz w:val="18"/>
          <w:szCs w:val="18"/>
          <w:lang w:eastAsia="it-IT"/>
        </w:rPr>
        <w:t xml:space="preserve">di costruzione e gestione </w:t>
      </w:r>
      <w:r w:rsidRPr="00DA23C5">
        <w:rPr>
          <w:rFonts w:ascii="Verdana" w:hAnsi="Verdana" w:cs="Arial"/>
          <w:sz w:val="18"/>
          <w:szCs w:val="18"/>
          <w:lang w:eastAsia="it-IT"/>
        </w:rPr>
        <w:t xml:space="preserve">delle case dell’acqua del </w:t>
      </w:r>
      <w:r w:rsidRPr="00DA23C5">
        <w:rPr>
          <w:rFonts w:ascii="Verdana" w:hAnsi="Verdana" w:cs="Arial"/>
          <w:sz w:val="18"/>
          <w:szCs w:val="18"/>
          <w:lang w:eastAsia="it-IT"/>
        </w:rPr>
        <w:lastRenderedPageBreak/>
        <w:t>presente progetto (indirizzi tradotti in obiettivi strategici 2023), si predisponga un documento di pianificazione strategica che, partendo dalla conoscenza e analisi della situazione esistente, valuti le necessità di investimento, identifichi le necessità di ulteriori case dell’acqua, integrando tali necessità con il progetto in parola</w:t>
      </w:r>
      <w:r w:rsidR="009D5625" w:rsidRPr="00DA23C5">
        <w:rPr>
          <w:rFonts w:ascii="Verdana" w:hAnsi="Verdana" w:cs="Arial"/>
          <w:sz w:val="18"/>
          <w:szCs w:val="18"/>
          <w:lang w:eastAsia="it-IT"/>
        </w:rPr>
        <w:t>, disegni un progetto di sviluppo e gestione unitario in capo a Romagna Acque.</w:t>
      </w:r>
    </w:p>
    <w:p w:rsidR="00AB506B" w:rsidRPr="00DA23C5" w:rsidRDefault="009D5625" w:rsidP="00AB506B">
      <w:pPr>
        <w:jc w:val="both"/>
        <w:rPr>
          <w:rFonts w:ascii="Verdana" w:hAnsi="Verdana" w:cs="Arial"/>
          <w:b/>
          <w:color w:val="FF0000"/>
          <w:sz w:val="18"/>
          <w:szCs w:val="18"/>
          <w:lang w:eastAsia="it-IT"/>
        </w:rPr>
      </w:pPr>
      <w:r w:rsidRPr="00DA23C5">
        <w:rPr>
          <w:rFonts w:ascii="Verdana" w:hAnsi="Verdana" w:cs="Arial"/>
          <w:sz w:val="18"/>
          <w:szCs w:val="18"/>
          <w:lang w:eastAsia="it-IT"/>
        </w:rPr>
        <w:t xml:space="preserve">In attesa di redigere quanto sopra indicato, al fine di evitare la predisposizione </w:t>
      </w:r>
      <w:proofErr w:type="gramStart"/>
      <w:r w:rsidRPr="00DA23C5">
        <w:rPr>
          <w:rFonts w:ascii="Verdana" w:hAnsi="Verdana" w:cs="Arial"/>
          <w:sz w:val="18"/>
          <w:szCs w:val="18"/>
          <w:lang w:eastAsia="it-IT"/>
        </w:rPr>
        <w:t>di  documentazione</w:t>
      </w:r>
      <w:proofErr w:type="gramEnd"/>
      <w:r w:rsidRPr="00DA23C5">
        <w:rPr>
          <w:rFonts w:ascii="Verdana" w:hAnsi="Verdana" w:cs="Arial"/>
          <w:sz w:val="18"/>
          <w:szCs w:val="18"/>
          <w:lang w:eastAsia="it-IT"/>
        </w:rPr>
        <w:t xml:space="preserve"> che dovrebbe poi essere pesantemente modificata, si è sospesa l’attività di redazione della documentazione di gara/Capitolato Speciale. Redatta bozza di Capitolato Speciale </w:t>
      </w:r>
      <w:r w:rsidR="005D54D4" w:rsidRPr="00DA23C5">
        <w:rPr>
          <w:rFonts w:ascii="Verdana" w:hAnsi="Verdana" w:cs="Arial"/>
          <w:sz w:val="18"/>
          <w:szCs w:val="18"/>
          <w:lang w:eastAsia="it-IT"/>
        </w:rPr>
        <w:t>(</w:t>
      </w:r>
      <w:r w:rsidRPr="00DA23C5">
        <w:rPr>
          <w:rFonts w:ascii="Verdana" w:hAnsi="Verdana" w:cs="Arial"/>
          <w:sz w:val="18"/>
          <w:szCs w:val="18"/>
          <w:lang w:eastAsia="it-IT"/>
        </w:rPr>
        <w:t>da completare</w:t>
      </w:r>
      <w:r w:rsidR="005D54D4" w:rsidRPr="00DA23C5">
        <w:rPr>
          <w:rFonts w:ascii="Verdana" w:hAnsi="Verdana" w:cs="Arial"/>
          <w:sz w:val="18"/>
          <w:szCs w:val="18"/>
          <w:lang w:eastAsia="it-IT"/>
        </w:rPr>
        <w:t>)</w:t>
      </w:r>
      <w:r w:rsidRPr="00DA23C5">
        <w:rPr>
          <w:rFonts w:ascii="Verdana" w:hAnsi="Verdana" w:cs="Arial"/>
          <w:sz w:val="18"/>
          <w:szCs w:val="18"/>
          <w:lang w:eastAsia="it-IT"/>
        </w:rPr>
        <w:t>.</w:t>
      </w:r>
      <w:r w:rsidR="0030749E" w:rsidRPr="00DA23C5">
        <w:rPr>
          <w:rFonts w:ascii="Verdana" w:hAnsi="Verdana" w:cs="Arial"/>
          <w:sz w:val="18"/>
          <w:szCs w:val="18"/>
          <w:lang w:eastAsia="it-IT"/>
        </w:rPr>
        <w:t xml:space="preserve"> </w:t>
      </w:r>
      <w:r w:rsidR="00AB506B" w:rsidRPr="00DA23C5">
        <w:rPr>
          <w:rFonts w:ascii="Verdana" w:hAnsi="Verdana" w:cs="Arial"/>
          <w:b/>
          <w:sz w:val="18"/>
          <w:szCs w:val="18"/>
          <w:lang w:eastAsia="it-IT"/>
        </w:rPr>
        <w:t xml:space="preserve">% raggiungimento obiettivo: </w:t>
      </w:r>
      <w:r w:rsidRPr="00DA23C5">
        <w:rPr>
          <w:rFonts w:ascii="Verdana" w:hAnsi="Verdana" w:cs="Arial"/>
          <w:b/>
          <w:sz w:val="18"/>
          <w:szCs w:val="18"/>
          <w:lang w:eastAsia="it-IT"/>
        </w:rPr>
        <w:t xml:space="preserve">70% </w:t>
      </w:r>
    </w:p>
    <w:tbl>
      <w:tblPr>
        <w:tblW w:w="9918" w:type="dxa"/>
        <w:tblCellMar>
          <w:left w:w="70" w:type="dxa"/>
          <w:right w:w="70" w:type="dxa"/>
        </w:tblCellMar>
        <w:tblLook w:val="04A0" w:firstRow="1" w:lastRow="0" w:firstColumn="1" w:lastColumn="0" w:noHBand="0" w:noVBand="1"/>
      </w:tblPr>
      <w:tblGrid>
        <w:gridCol w:w="433"/>
        <w:gridCol w:w="3532"/>
        <w:gridCol w:w="4962"/>
        <w:gridCol w:w="991"/>
      </w:tblGrid>
      <w:tr w:rsidR="00446271" w:rsidRPr="00DA23C5" w:rsidTr="00DA23C5">
        <w:trPr>
          <w:trHeight w:val="263"/>
        </w:trPr>
        <w:tc>
          <w:tcPr>
            <w:tcW w:w="3965" w:type="dxa"/>
            <w:gridSpan w:val="2"/>
            <w:tcBorders>
              <w:top w:val="single" w:sz="4" w:space="0" w:color="auto"/>
              <w:left w:val="single" w:sz="4" w:space="0" w:color="auto"/>
              <w:bottom w:val="nil"/>
              <w:right w:val="single" w:sz="4" w:space="0" w:color="auto"/>
            </w:tcBorders>
            <w:shd w:val="clear" w:color="auto" w:fill="auto"/>
            <w:vAlign w:val="center"/>
            <w:hideMark/>
          </w:tcPr>
          <w:p w:rsidR="00446271" w:rsidRPr="00DA23C5" w:rsidRDefault="00446271" w:rsidP="00446271">
            <w:pPr>
              <w:rPr>
                <w:rFonts w:ascii="Verdana" w:hAnsi="Verdana" w:cs="Arial"/>
                <w:b/>
                <w:bCs/>
                <w:sz w:val="18"/>
                <w:szCs w:val="18"/>
                <w:lang w:eastAsia="it-IT"/>
              </w:rPr>
            </w:pPr>
            <w:r w:rsidRPr="00DA23C5">
              <w:rPr>
                <w:rFonts w:ascii="Verdana" w:hAnsi="Verdana" w:cs="Arial"/>
                <w:b/>
                <w:bCs/>
                <w:sz w:val="18"/>
                <w:szCs w:val="18"/>
                <w:lang w:eastAsia="it-IT"/>
              </w:rPr>
              <w:t> OBIETTIVO STRATEGICO N.3</w:t>
            </w:r>
          </w:p>
        </w:tc>
        <w:tc>
          <w:tcPr>
            <w:tcW w:w="4962" w:type="dxa"/>
            <w:tcBorders>
              <w:top w:val="single" w:sz="4" w:space="0" w:color="auto"/>
              <w:left w:val="nil"/>
              <w:bottom w:val="single" w:sz="4" w:space="0" w:color="000000"/>
              <w:right w:val="single" w:sz="4" w:space="0" w:color="auto"/>
            </w:tcBorders>
            <w:shd w:val="clear" w:color="auto" w:fill="auto"/>
            <w:vAlign w:val="center"/>
            <w:hideMark/>
          </w:tcPr>
          <w:p w:rsidR="00446271" w:rsidRPr="00DA23C5" w:rsidRDefault="00446271" w:rsidP="00446271">
            <w:pPr>
              <w:jc w:val="center"/>
              <w:rPr>
                <w:rFonts w:ascii="Verdana" w:hAnsi="Verdana" w:cs="Arial"/>
                <w:b/>
                <w:bCs/>
                <w:sz w:val="18"/>
                <w:szCs w:val="18"/>
                <w:lang w:eastAsia="it-IT"/>
              </w:rPr>
            </w:pPr>
            <w:r w:rsidRPr="00DA23C5">
              <w:rPr>
                <w:rFonts w:ascii="Verdana" w:hAnsi="Verdana" w:cs="Arial"/>
                <w:b/>
                <w:bCs/>
                <w:sz w:val="18"/>
                <w:szCs w:val="18"/>
                <w:lang w:eastAsia="it-IT"/>
              </w:rPr>
              <w:t>AZIONI</w:t>
            </w:r>
          </w:p>
        </w:tc>
        <w:tc>
          <w:tcPr>
            <w:tcW w:w="99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46271" w:rsidRPr="00DA23C5" w:rsidRDefault="00446271" w:rsidP="00446271">
            <w:pPr>
              <w:jc w:val="center"/>
              <w:rPr>
                <w:rFonts w:ascii="Verdana" w:hAnsi="Verdana" w:cs="Arial"/>
                <w:b/>
                <w:bCs/>
                <w:sz w:val="18"/>
                <w:szCs w:val="18"/>
                <w:lang w:eastAsia="it-IT"/>
              </w:rPr>
            </w:pPr>
            <w:proofErr w:type="gramStart"/>
            <w:r w:rsidRPr="00DA23C5">
              <w:rPr>
                <w:rFonts w:ascii="Verdana" w:hAnsi="Verdana" w:cs="Arial"/>
                <w:b/>
                <w:bCs/>
                <w:sz w:val="18"/>
                <w:szCs w:val="18"/>
                <w:lang w:eastAsia="it-IT"/>
              </w:rPr>
              <w:t>pesi</w:t>
            </w:r>
            <w:proofErr w:type="gramEnd"/>
            <w:r w:rsidRPr="00DA23C5">
              <w:rPr>
                <w:rFonts w:ascii="Verdana" w:hAnsi="Verdana" w:cs="Arial"/>
                <w:b/>
                <w:bCs/>
                <w:sz w:val="18"/>
                <w:szCs w:val="18"/>
                <w:lang w:eastAsia="it-IT"/>
              </w:rPr>
              <w:t xml:space="preserve"> % </w:t>
            </w:r>
          </w:p>
        </w:tc>
      </w:tr>
      <w:tr w:rsidR="00446271" w:rsidRPr="00DA23C5" w:rsidTr="00DA23C5">
        <w:trPr>
          <w:trHeight w:val="1189"/>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jc w:val="center"/>
              <w:rPr>
                <w:rFonts w:ascii="Verdana" w:hAnsi="Verdana" w:cs="Arial"/>
                <w:sz w:val="18"/>
                <w:szCs w:val="18"/>
                <w:highlight w:val="yellow"/>
                <w:lang w:eastAsia="it-IT"/>
              </w:rPr>
            </w:pPr>
          </w:p>
        </w:tc>
        <w:tc>
          <w:tcPr>
            <w:tcW w:w="3532"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bCs/>
                <w:sz w:val="18"/>
                <w:szCs w:val="18"/>
                <w:lang w:eastAsia="it-IT"/>
              </w:rPr>
            </w:pPr>
            <w:r w:rsidRPr="00DA23C5">
              <w:rPr>
                <w:rFonts w:ascii="Verdana" w:hAnsi="Verdana" w:cs="Arial"/>
                <w:bCs/>
                <w:sz w:val="18"/>
                <w:szCs w:val="18"/>
                <w:lang w:eastAsia="it-IT"/>
              </w:rPr>
              <w:t xml:space="preserve">Trasformazione digitale e riprogettazione del sistema di </w:t>
            </w:r>
            <w:proofErr w:type="spellStart"/>
            <w:r w:rsidRPr="00DA23C5">
              <w:rPr>
                <w:rFonts w:ascii="Verdana" w:hAnsi="Verdana" w:cs="Arial"/>
                <w:bCs/>
                <w:sz w:val="18"/>
                <w:szCs w:val="18"/>
                <w:lang w:eastAsia="it-IT"/>
              </w:rPr>
              <w:t>workforce</w:t>
            </w:r>
            <w:proofErr w:type="spellEnd"/>
            <w:r w:rsidRPr="00DA23C5">
              <w:rPr>
                <w:rFonts w:ascii="Verdana" w:hAnsi="Verdana" w:cs="Arial"/>
                <w:bCs/>
                <w:sz w:val="18"/>
                <w:szCs w:val="18"/>
                <w:lang w:eastAsia="it-IT"/>
              </w:rPr>
              <w:t xml:space="preserve"> management: progetto GIADA2. Digitalizzazione delle attività di gestione e manutenzione impianti.</w:t>
            </w:r>
          </w:p>
        </w:tc>
        <w:tc>
          <w:tcPr>
            <w:tcW w:w="4962" w:type="dxa"/>
            <w:tcBorders>
              <w:top w:val="nil"/>
              <w:left w:val="nil"/>
              <w:bottom w:val="nil"/>
              <w:right w:val="nil"/>
            </w:tcBorders>
            <w:shd w:val="clear" w:color="auto" w:fill="auto"/>
            <w:noWrap/>
            <w:vAlign w:val="center"/>
            <w:hideMark/>
          </w:tcPr>
          <w:p w:rsidR="00446271" w:rsidRPr="00DA23C5" w:rsidRDefault="00446271" w:rsidP="00446271">
            <w:pPr>
              <w:rPr>
                <w:rFonts w:ascii="Verdana" w:hAnsi="Verdana" w:cs="Arial"/>
                <w:bCs/>
                <w:sz w:val="18"/>
                <w:szCs w:val="18"/>
                <w:lang w:eastAsia="it-IT"/>
              </w:rPr>
            </w:pPr>
          </w:p>
        </w:tc>
        <w:tc>
          <w:tcPr>
            <w:tcW w:w="991" w:type="dxa"/>
            <w:tcBorders>
              <w:top w:val="nil"/>
              <w:left w:val="single" w:sz="4" w:space="0" w:color="auto"/>
              <w:bottom w:val="single" w:sz="4" w:space="0" w:color="auto"/>
              <w:right w:val="single" w:sz="4" w:space="0" w:color="auto"/>
            </w:tcBorders>
            <w:shd w:val="clear" w:color="auto" w:fill="auto"/>
            <w:hideMark/>
          </w:tcPr>
          <w:p w:rsidR="00446271" w:rsidRPr="00DA23C5" w:rsidRDefault="00446271" w:rsidP="00446271">
            <w:pPr>
              <w:jc w:val="center"/>
              <w:rPr>
                <w:rFonts w:ascii="Verdana" w:hAnsi="Verdana" w:cs="Arial"/>
                <w:bCs/>
                <w:sz w:val="18"/>
                <w:szCs w:val="18"/>
                <w:lang w:eastAsia="it-IT"/>
              </w:rPr>
            </w:pPr>
            <w:r w:rsidRPr="00DA23C5">
              <w:rPr>
                <w:rFonts w:ascii="Verdana" w:hAnsi="Verdana" w:cs="Arial"/>
                <w:bCs/>
                <w:sz w:val="18"/>
                <w:szCs w:val="18"/>
                <w:lang w:eastAsia="it-IT"/>
              </w:rPr>
              <w:t>20%</w:t>
            </w:r>
          </w:p>
        </w:tc>
      </w:tr>
      <w:tr w:rsidR="00446271" w:rsidRPr="00DA23C5" w:rsidTr="00DA23C5">
        <w:trPr>
          <w:trHeight w:val="209"/>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3.a</w:t>
            </w:r>
          </w:p>
        </w:tc>
        <w:tc>
          <w:tcPr>
            <w:tcW w:w="3532" w:type="dxa"/>
            <w:tcBorders>
              <w:top w:val="nil"/>
              <w:left w:val="nil"/>
              <w:bottom w:val="single" w:sz="4" w:space="0" w:color="auto"/>
              <w:right w:val="single" w:sz="4" w:space="0" w:color="auto"/>
            </w:tcBorders>
            <w:shd w:val="clear" w:color="auto" w:fill="auto"/>
            <w:hideMark/>
          </w:tcPr>
          <w:p w:rsidR="00446271" w:rsidRPr="00DA23C5" w:rsidRDefault="00446271" w:rsidP="00446271">
            <w:pPr>
              <w:rPr>
                <w:rFonts w:ascii="Verdana" w:hAnsi="Verdana" w:cs="Arial"/>
                <w:sz w:val="18"/>
                <w:szCs w:val="18"/>
                <w:lang w:eastAsia="it-IT"/>
              </w:rPr>
            </w:pPr>
            <w:r w:rsidRPr="00DA23C5">
              <w:rPr>
                <w:rFonts w:ascii="Verdana" w:hAnsi="Verdana" w:cs="Arial"/>
                <w:sz w:val="18"/>
                <w:szCs w:val="18"/>
                <w:lang w:eastAsia="it-IT"/>
              </w:rPr>
              <w:t> </w:t>
            </w:r>
          </w:p>
        </w:tc>
        <w:tc>
          <w:tcPr>
            <w:tcW w:w="4962" w:type="dxa"/>
            <w:tcBorders>
              <w:top w:val="single" w:sz="4" w:space="0" w:color="auto"/>
              <w:left w:val="nil"/>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Collaudo del nuovo sistema informativo Giada2.</w:t>
            </w:r>
          </w:p>
        </w:tc>
        <w:tc>
          <w:tcPr>
            <w:tcW w:w="991"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10%</w:t>
            </w:r>
          </w:p>
        </w:tc>
      </w:tr>
      <w:tr w:rsidR="00446271" w:rsidRPr="00DA23C5" w:rsidTr="00DA23C5">
        <w:trPr>
          <w:trHeight w:val="415"/>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3.b</w:t>
            </w:r>
          </w:p>
        </w:tc>
        <w:tc>
          <w:tcPr>
            <w:tcW w:w="3532" w:type="dxa"/>
            <w:tcBorders>
              <w:top w:val="nil"/>
              <w:left w:val="nil"/>
              <w:bottom w:val="single" w:sz="4" w:space="0" w:color="auto"/>
              <w:right w:val="single" w:sz="4" w:space="0" w:color="auto"/>
            </w:tcBorders>
            <w:shd w:val="clear" w:color="auto" w:fill="auto"/>
            <w:hideMark/>
          </w:tcPr>
          <w:p w:rsidR="00446271" w:rsidRPr="00DA23C5" w:rsidRDefault="00446271" w:rsidP="00446271">
            <w:pPr>
              <w:rPr>
                <w:rFonts w:ascii="Verdana" w:hAnsi="Verdana" w:cs="Arial"/>
                <w:sz w:val="18"/>
                <w:szCs w:val="18"/>
                <w:lang w:eastAsia="it-IT"/>
              </w:rPr>
            </w:pPr>
            <w:r w:rsidRPr="00DA23C5">
              <w:rPr>
                <w:rFonts w:ascii="Verdana" w:hAnsi="Verdana" w:cs="Arial"/>
                <w:sz w:val="18"/>
                <w:szCs w:val="18"/>
                <w:lang w:eastAsia="it-IT"/>
              </w:rPr>
              <w:t> </w:t>
            </w:r>
          </w:p>
        </w:tc>
        <w:tc>
          <w:tcPr>
            <w:tcW w:w="4962"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 xml:space="preserve">Utilizzo del nuovo sistema Giada2 da parte delle funzioni coinvolte per le attività di </w:t>
            </w:r>
            <w:proofErr w:type="spellStart"/>
            <w:r w:rsidRPr="00DA23C5">
              <w:rPr>
                <w:rFonts w:ascii="Verdana" w:hAnsi="Verdana" w:cs="Arial"/>
                <w:sz w:val="18"/>
                <w:szCs w:val="18"/>
                <w:lang w:eastAsia="it-IT"/>
              </w:rPr>
              <w:t>workforce</w:t>
            </w:r>
            <w:proofErr w:type="spellEnd"/>
            <w:r w:rsidRPr="00DA23C5">
              <w:rPr>
                <w:rFonts w:ascii="Verdana" w:hAnsi="Verdana" w:cs="Arial"/>
                <w:sz w:val="18"/>
                <w:szCs w:val="18"/>
                <w:lang w:eastAsia="it-IT"/>
              </w:rPr>
              <w:t xml:space="preserve"> management.</w:t>
            </w:r>
          </w:p>
        </w:tc>
        <w:tc>
          <w:tcPr>
            <w:tcW w:w="991"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10%</w:t>
            </w:r>
          </w:p>
        </w:tc>
      </w:tr>
    </w:tbl>
    <w:p w:rsidR="00446271" w:rsidRPr="00DA23C5" w:rsidRDefault="00446271" w:rsidP="00446271">
      <w:pPr>
        <w:rPr>
          <w:rFonts w:ascii="Verdana" w:hAnsi="Verdana"/>
          <w:sz w:val="18"/>
          <w:szCs w:val="18"/>
        </w:rPr>
      </w:pPr>
      <w:r w:rsidRPr="00DA23C5">
        <w:rPr>
          <w:rFonts w:ascii="Verdana" w:hAnsi="Verdana"/>
          <w:sz w:val="18"/>
          <w:szCs w:val="18"/>
        </w:rPr>
        <w:t xml:space="preserve">Di seguito la rilevazione di preconsuntivo su ciascuna delle azioni: </w:t>
      </w:r>
    </w:p>
    <w:tbl>
      <w:tblPr>
        <w:tblW w:w="9776" w:type="dxa"/>
        <w:tblInd w:w="-5" w:type="dxa"/>
        <w:tblCellMar>
          <w:left w:w="0" w:type="dxa"/>
          <w:right w:w="0" w:type="dxa"/>
        </w:tblCellMar>
        <w:tblLook w:val="04A0" w:firstRow="1" w:lastRow="0" w:firstColumn="1" w:lastColumn="0" w:noHBand="0" w:noVBand="1"/>
      </w:tblPr>
      <w:tblGrid>
        <w:gridCol w:w="426"/>
        <w:gridCol w:w="7"/>
        <w:gridCol w:w="3248"/>
        <w:gridCol w:w="4961"/>
        <w:gridCol w:w="279"/>
        <w:gridCol w:w="855"/>
      </w:tblGrid>
      <w:tr w:rsidR="00446271" w:rsidRPr="00DA23C5" w:rsidTr="00DA23C5">
        <w:trPr>
          <w:gridAfter w:val="1"/>
          <w:wAfter w:w="855" w:type="dxa"/>
          <w:trHeight w:val="209"/>
        </w:trPr>
        <w:tc>
          <w:tcPr>
            <w:tcW w:w="43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3.a</w:t>
            </w:r>
          </w:p>
        </w:tc>
        <w:tc>
          <w:tcPr>
            <w:tcW w:w="8488"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46271" w:rsidRPr="00DA23C5" w:rsidRDefault="00E66A4C">
            <w:pPr>
              <w:rPr>
                <w:rFonts w:ascii="Verdana" w:hAnsi="Verdana" w:cs="Arial"/>
                <w:sz w:val="18"/>
                <w:szCs w:val="18"/>
                <w:lang w:eastAsia="it-IT"/>
              </w:rPr>
            </w:pPr>
            <w:r w:rsidRPr="00DA23C5">
              <w:rPr>
                <w:rFonts w:ascii="Verdana" w:hAnsi="Verdana" w:cs="Arial"/>
                <w:sz w:val="18"/>
                <w:szCs w:val="18"/>
                <w:lang w:eastAsia="it-IT"/>
              </w:rPr>
              <w:t xml:space="preserve">Il SW del nuovo sistema informativo è stato consegnato e validato in tutti i moduli principali (Anagrafica, Interventi, Conversione archivi da Giada1). Avvio </w:t>
            </w:r>
            <w:proofErr w:type="spellStart"/>
            <w:r w:rsidRPr="00DA23C5">
              <w:rPr>
                <w:rFonts w:ascii="Verdana" w:hAnsi="Verdana" w:cs="Arial"/>
                <w:sz w:val="18"/>
                <w:szCs w:val="18"/>
                <w:lang w:eastAsia="it-IT"/>
              </w:rPr>
              <w:t>jn</w:t>
            </w:r>
            <w:proofErr w:type="spellEnd"/>
            <w:r w:rsidRPr="00DA23C5">
              <w:rPr>
                <w:rFonts w:ascii="Verdana" w:hAnsi="Verdana" w:cs="Arial"/>
                <w:sz w:val="18"/>
                <w:szCs w:val="18"/>
                <w:lang w:eastAsia="it-IT"/>
              </w:rPr>
              <w:t xml:space="preserve"> effettivo avvenuto nel luglio.</w:t>
            </w:r>
            <w:r w:rsidR="00446271" w:rsidRPr="00DA23C5">
              <w:rPr>
                <w:rFonts w:ascii="Verdana" w:hAnsi="Verdana" w:cs="Arial"/>
                <w:sz w:val="18"/>
                <w:szCs w:val="18"/>
                <w:lang w:eastAsia="it-IT"/>
              </w:rPr>
              <w:t xml:space="preserve"> </w:t>
            </w:r>
            <w:r w:rsidRPr="00DA23C5">
              <w:rPr>
                <w:rFonts w:ascii="Verdana" w:hAnsi="Verdana" w:cs="Arial"/>
                <w:b/>
                <w:sz w:val="18"/>
                <w:szCs w:val="18"/>
                <w:lang w:eastAsia="it-IT"/>
              </w:rPr>
              <w:t>%</w:t>
            </w:r>
            <w:r w:rsidR="00AB506B" w:rsidRPr="00DA23C5">
              <w:rPr>
                <w:rFonts w:ascii="Verdana" w:hAnsi="Verdana" w:cs="Arial"/>
                <w:b/>
                <w:sz w:val="18"/>
                <w:szCs w:val="18"/>
                <w:lang w:eastAsia="it-IT"/>
              </w:rPr>
              <w:t>raggiungimento obiettivo</w:t>
            </w:r>
            <w:r w:rsidRPr="00DA23C5">
              <w:rPr>
                <w:rFonts w:ascii="Verdana" w:hAnsi="Verdana" w:cs="Arial"/>
                <w:b/>
                <w:sz w:val="18"/>
                <w:szCs w:val="18"/>
                <w:lang w:eastAsia="it-IT"/>
              </w:rPr>
              <w:t>: 100%</w:t>
            </w:r>
          </w:p>
        </w:tc>
      </w:tr>
      <w:tr w:rsidR="00446271" w:rsidRPr="00DA23C5" w:rsidTr="00DA23C5">
        <w:trPr>
          <w:gridAfter w:val="1"/>
          <w:wAfter w:w="855" w:type="dxa"/>
          <w:trHeight w:val="415"/>
        </w:trPr>
        <w:tc>
          <w:tcPr>
            <w:tcW w:w="433"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3.b</w:t>
            </w:r>
          </w:p>
        </w:tc>
        <w:tc>
          <w:tcPr>
            <w:tcW w:w="848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446271" w:rsidRPr="00DA23C5" w:rsidRDefault="00E66A4C">
            <w:pPr>
              <w:rPr>
                <w:rFonts w:ascii="Verdana" w:hAnsi="Verdana" w:cs="Arial"/>
                <w:sz w:val="18"/>
                <w:szCs w:val="18"/>
                <w:highlight w:val="yellow"/>
                <w:lang w:eastAsia="it-IT"/>
              </w:rPr>
            </w:pPr>
            <w:r w:rsidRPr="00DA23C5">
              <w:rPr>
                <w:rFonts w:ascii="Verdana" w:hAnsi="Verdana" w:cs="Arial"/>
                <w:sz w:val="18"/>
                <w:szCs w:val="18"/>
                <w:lang w:eastAsia="it-IT"/>
              </w:rPr>
              <w:t>I corsi di formazione per l’utilizzo sono stati svolti nell’estate. E’ in corso l’estensione dell’utilizzo a tutte le funzioni coinvolte, con ripresa delle attività formative dove richiesto.</w:t>
            </w:r>
            <w:r w:rsidRPr="00DA23C5">
              <w:rPr>
                <w:rFonts w:ascii="Verdana" w:hAnsi="Verdana" w:cs="Arial"/>
                <w:b/>
                <w:sz w:val="18"/>
                <w:szCs w:val="18"/>
                <w:lang w:eastAsia="it-IT"/>
              </w:rPr>
              <w:t xml:space="preserve"> %raggiungimento obiettivo: 100%</w:t>
            </w:r>
          </w:p>
        </w:tc>
      </w:tr>
      <w:tr w:rsidR="00446271" w:rsidRPr="00DA23C5" w:rsidTr="00DA23C5">
        <w:tblPrEx>
          <w:tblCellMar>
            <w:left w:w="70" w:type="dxa"/>
            <w:right w:w="70" w:type="dxa"/>
          </w:tblCellMar>
        </w:tblPrEx>
        <w:trPr>
          <w:trHeight w:val="263"/>
        </w:trPr>
        <w:tc>
          <w:tcPr>
            <w:tcW w:w="3681" w:type="dxa"/>
            <w:gridSpan w:val="3"/>
            <w:tcBorders>
              <w:top w:val="single" w:sz="4" w:space="0" w:color="auto"/>
              <w:left w:val="single" w:sz="4" w:space="0" w:color="auto"/>
              <w:bottom w:val="nil"/>
              <w:right w:val="single" w:sz="4" w:space="0" w:color="auto"/>
            </w:tcBorders>
            <w:shd w:val="clear" w:color="auto" w:fill="auto"/>
            <w:vAlign w:val="center"/>
            <w:hideMark/>
          </w:tcPr>
          <w:p w:rsidR="00446271" w:rsidRPr="00DA23C5" w:rsidRDefault="00446271" w:rsidP="00446271">
            <w:pPr>
              <w:rPr>
                <w:rFonts w:ascii="Verdana" w:hAnsi="Verdana" w:cs="Arial"/>
                <w:b/>
                <w:bCs/>
                <w:sz w:val="18"/>
                <w:szCs w:val="18"/>
                <w:lang w:eastAsia="it-IT"/>
              </w:rPr>
            </w:pPr>
            <w:r w:rsidRPr="00DA23C5">
              <w:rPr>
                <w:rFonts w:ascii="Verdana" w:hAnsi="Verdana" w:cs="Arial"/>
                <w:b/>
                <w:bCs/>
                <w:sz w:val="18"/>
                <w:szCs w:val="18"/>
                <w:lang w:eastAsia="it-IT"/>
              </w:rPr>
              <w:t> OBIETTIVO STRATEGICO N.4</w:t>
            </w:r>
          </w:p>
        </w:tc>
        <w:tc>
          <w:tcPr>
            <w:tcW w:w="4961" w:type="dxa"/>
            <w:tcBorders>
              <w:top w:val="single" w:sz="4" w:space="0" w:color="auto"/>
              <w:left w:val="nil"/>
              <w:bottom w:val="single" w:sz="4" w:space="0" w:color="000000"/>
              <w:right w:val="single" w:sz="4" w:space="0" w:color="auto"/>
            </w:tcBorders>
            <w:shd w:val="clear" w:color="auto" w:fill="auto"/>
            <w:vAlign w:val="center"/>
            <w:hideMark/>
          </w:tcPr>
          <w:p w:rsidR="00446271" w:rsidRPr="00DA23C5" w:rsidRDefault="00446271" w:rsidP="00446271">
            <w:pPr>
              <w:jc w:val="center"/>
              <w:rPr>
                <w:rFonts w:ascii="Verdana" w:hAnsi="Verdana" w:cs="Arial"/>
                <w:b/>
                <w:bCs/>
                <w:sz w:val="18"/>
                <w:szCs w:val="18"/>
                <w:lang w:eastAsia="it-IT"/>
              </w:rPr>
            </w:pPr>
            <w:r w:rsidRPr="00DA23C5">
              <w:rPr>
                <w:rFonts w:ascii="Verdana" w:hAnsi="Verdana" w:cs="Arial"/>
                <w:b/>
                <w:bCs/>
                <w:sz w:val="18"/>
                <w:szCs w:val="18"/>
                <w:lang w:eastAsia="it-IT"/>
              </w:rPr>
              <w:t>AZIONI</w:t>
            </w:r>
          </w:p>
        </w:tc>
        <w:tc>
          <w:tcPr>
            <w:tcW w:w="113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446271" w:rsidRPr="00DA23C5" w:rsidRDefault="00446271" w:rsidP="00446271">
            <w:pPr>
              <w:jc w:val="center"/>
              <w:rPr>
                <w:rFonts w:ascii="Verdana" w:hAnsi="Verdana" w:cs="Arial"/>
                <w:b/>
                <w:bCs/>
                <w:sz w:val="18"/>
                <w:szCs w:val="18"/>
                <w:lang w:eastAsia="it-IT"/>
              </w:rPr>
            </w:pPr>
            <w:proofErr w:type="gramStart"/>
            <w:r w:rsidRPr="00DA23C5">
              <w:rPr>
                <w:rFonts w:ascii="Verdana" w:hAnsi="Verdana" w:cs="Arial"/>
                <w:b/>
                <w:bCs/>
                <w:sz w:val="18"/>
                <w:szCs w:val="18"/>
                <w:lang w:eastAsia="it-IT"/>
              </w:rPr>
              <w:t>pesi</w:t>
            </w:r>
            <w:proofErr w:type="gramEnd"/>
            <w:r w:rsidRPr="00DA23C5">
              <w:rPr>
                <w:rFonts w:ascii="Verdana" w:hAnsi="Verdana" w:cs="Arial"/>
                <w:b/>
                <w:bCs/>
                <w:sz w:val="18"/>
                <w:szCs w:val="18"/>
                <w:lang w:eastAsia="it-IT"/>
              </w:rPr>
              <w:t xml:space="preserve"> % </w:t>
            </w:r>
          </w:p>
        </w:tc>
      </w:tr>
      <w:tr w:rsidR="00446271" w:rsidRPr="00DA23C5" w:rsidTr="00DA23C5">
        <w:tblPrEx>
          <w:tblCellMar>
            <w:left w:w="70" w:type="dxa"/>
            <w:right w:w="70" w:type="dxa"/>
          </w:tblCellMar>
        </w:tblPrEx>
        <w:trPr>
          <w:trHeight w:val="70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4</w:t>
            </w:r>
          </w:p>
        </w:tc>
        <w:tc>
          <w:tcPr>
            <w:tcW w:w="3255" w:type="dxa"/>
            <w:gridSpan w:val="2"/>
            <w:tcBorders>
              <w:top w:val="nil"/>
              <w:left w:val="nil"/>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bCs/>
                <w:sz w:val="18"/>
                <w:szCs w:val="18"/>
                <w:lang w:eastAsia="it-IT"/>
              </w:rPr>
            </w:pPr>
            <w:proofErr w:type="spellStart"/>
            <w:r w:rsidRPr="00DA23C5">
              <w:rPr>
                <w:rFonts w:ascii="Verdana" w:hAnsi="Verdana" w:cs="Arial"/>
                <w:bCs/>
                <w:sz w:val="18"/>
                <w:szCs w:val="18"/>
                <w:lang w:eastAsia="it-IT"/>
              </w:rPr>
              <w:t>Efficientamento</w:t>
            </w:r>
            <w:proofErr w:type="spellEnd"/>
            <w:r w:rsidRPr="00DA23C5">
              <w:rPr>
                <w:rFonts w:ascii="Verdana" w:hAnsi="Verdana" w:cs="Arial"/>
                <w:bCs/>
                <w:sz w:val="18"/>
                <w:szCs w:val="18"/>
                <w:lang w:eastAsia="it-IT"/>
              </w:rPr>
              <w:t xml:space="preserve"> dei processi di acquisto: specializzazioni risorse, aggiornamento Elenco Operatori Economici, contratti quadro pluriennali</w:t>
            </w:r>
          </w:p>
        </w:tc>
        <w:tc>
          <w:tcPr>
            <w:tcW w:w="4961"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Valutazione dell'efficacia dell'introduzione dell'Elenco Operatori Economici. Riduzione del 10% dell'importo e del numero degli affidamenti diretti (importo &lt; 40.000 €) effettuati, rispetto alla media dell'ultimo triennio.</w:t>
            </w:r>
          </w:p>
        </w:tc>
        <w:tc>
          <w:tcPr>
            <w:tcW w:w="1134" w:type="dxa"/>
            <w:gridSpan w:val="2"/>
            <w:tcBorders>
              <w:top w:val="nil"/>
              <w:left w:val="nil"/>
              <w:bottom w:val="single" w:sz="4" w:space="0" w:color="auto"/>
              <w:right w:val="single" w:sz="4" w:space="0" w:color="auto"/>
            </w:tcBorders>
            <w:shd w:val="clear" w:color="auto" w:fill="auto"/>
            <w:hideMark/>
          </w:tcPr>
          <w:p w:rsidR="00446271" w:rsidRPr="00DA23C5" w:rsidRDefault="00446271" w:rsidP="00446271">
            <w:pPr>
              <w:jc w:val="center"/>
              <w:rPr>
                <w:rFonts w:ascii="Verdana" w:hAnsi="Verdana" w:cs="Arial"/>
                <w:bCs/>
                <w:sz w:val="18"/>
                <w:szCs w:val="18"/>
                <w:lang w:eastAsia="it-IT"/>
              </w:rPr>
            </w:pPr>
            <w:r w:rsidRPr="00DA23C5">
              <w:rPr>
                <w:rFonts w:ascii="Verdana" w:hAnsi="Verdana" w:cs="Arial"/>
                <w:bCs/>
                <w:sz w:val="18"/>
                <w:szCs w:val="18"/>
                <w:lang w:eastAsia="it-IT"/>
              </w:rPr>
              <w:t>20%</w:t>
            </w:r>
          </w:p>
        </w:tc>
      </w:tr>
    </w:tbl>
    <w:p w:rsidR="00082970" w:rsidRPr="00DA23C5" w:rsidRDefault="00082970" w:rsidP="00082970">
      <w:pPr>
        <w:rPr>
          <w:rFonts w:ascii="Verdana" w:hAnsi="Verdana"/>
          <w:sz w:val="18"/>
          <w:szCs w:val="18"/>
        </w:rPr>
      </w:pPr>
      <w:r w:rsidRPr="00DA23C5">
        <w:rPr>
          <w:rFonts w:ascii="Verdana" w:hAnsi="Verdana"/>
          <w:sz w:val="18"/>
          <w:szCs w:val="18"/>
        </w:rPr>
        <w:t xml:space="preserve">Di seguito la rilevazione di preconsuntivo: </w:t>
      </w:r>
    </w:p>
    <w:p w:rsidR="00933D96" w:rsidRPr="00DA23C5" w:rsidRDefault="00082970">
      <w:pPr>
        <w:pStyle w:val="Testonormale"/>
        <w:jc w:val="both"/>
        <w:rPr>
          <w:rFonts w:ascii="Verdana" w:hAnsi="Verdana"/>
          <w:sz w:val="18"/>
          <w:szCs w:val="18"/>
        </w:rPr>
      </w:pPr>
      <w:r w:rsidRPr="00DA23C5">
        <w:rPr>
          <w:rFonts w:ascii="Verdana" w:hAnsi="Verdana"/>
          <w:b/>
          <w:sz w:val="18"/>
          <w:szCs w:val="18"/>
        </w:rPr>
        <w:t>4.</w:t>
      </w:r>
      <w:r w:rsidRPr="00DA23C5">
        <w:rPr>
          <w:rFonts w:ascii="Verdana" w:hAnsi="Verdana"/>
          <w:sz w:val="18"/>
          <w:szCs w:val="18"/>
        </w:rPr>
        <w:t xml:space="preserve"> </w:t>
      </w:r>
      <w:r w:rsidR="00933D96" w:rsidRPr="00DA23C5">
        <w:rPr>
          <w:rFonts w:ascii="Verdana" w:hAnsi="Verdana"/>
          <w:sz w:val="18"/>
          <w:szCs w:val="18"/>
        </w:rPr>
        <w:t xml:space="preserve">Al fine di valutare l’efficacia dell’introduzione dell’Elenco Operatori Economici nel mese di aprile u.s. sono stati </w:t>
      </w:r>
      <w:r w:rsidRPr="00DA23C5">
        <w:rPr>
          <w:rFonts w:ascii="Verdana" w:hAnsi="Verdana"/>
          <w:sz w:val="18"/>
          <w:szCs w:val="18"/>
        </w:rPr>
        <w:t xml:space="preserve">individuati </w:t>
      </w:r>
      <w:r w:rsidR="00933D96" w:rsidRPr="00DA23C5">
        <w:rPr>
          <w:rFonts w:ascii="Verdana" w:hAnsi="Verdana"/>
          <w:sz w:val="18"/>
          <w:szCs w:val="18"/>
        </w:rPr>
        <w:t>n. 3 indicatori</w:t>
      </w:r>
      <w:r w:rsidR="0077787B" w:rsidRPr="00DA23C5">
        <w:rPr>
          <w:rFonts w:ascii="Verdana" w:hAnsi="Verdana"/>
          <w:sz w:val="18"/>
          <w:szCs w:val="18"/>
        </w:rPr>
        <w:t xml:space="preserve"> di cui </w:t>
      </w:r>
      <w:r w:rsidR="00933D96" w:rsidRPr="00DA23C5">
        <w:rPr>
          <w:rFonts w:ascii="Verdana" w:hAnsi="Verdana"/>
          <w:sz w:val="18"/>
          <w:szCs w:val="18"/>
        </w:rPr>
        <w:t>n.2 per rilevare l’effettivo utilizzo da parte dei singoli RUP dell’Elenco Operatori</w:t>
      </w:r>
      <w:r w:rsidR="0077787B" w:rsidRPr="00DA23C5">
        <w:rPr>
          <w:rFonts w:ascii="Verdana" w:hAnsi="Verdana"/>
          <w:sz w:val="18"/>
          <w:szCs w:val="18"/>
        </w:rPr>
        <w:t xml:space="preserve"> e </w:t>
      </w:r>
      <w:r w:rsidR="00933D96" w:rsidRPr="00DA23C5">
        <w:rPr>
          <w:rFonts w:ascii="Verdana" w:hAnsi="Verdana"/>
          <w:sz w:val="18"/>
          <w:szCs w:val="18"/>
        </w:rPr>
        <w:t>n.1 volto all’individuazione delle eventuali necessità di introduzione di nuovi gruppi merceologici per consentire l’ampliamento dell’utilizzo dell’Elenco Operatori stesso.</w:t>
      </w:r>
      <w:r w:rsidRPr="00DA23C5">
        <w:rPr>
          <w:rFonts w:ascii="Verdana" w:hAnsi="Verdana"/>
          <w:sz w:val="18"/>
          <w:szCs w:val="18"/>
        </w:rPr>
        <w:t xml:space="preserve"> </w:t>
      </w:r>
      <w:r w:rsidR="00933D96" w:rsidRPr="00DA23C5">
        <w:rPr>
          <w:rFonts w:ascii="Verdana" w:hAnsi="Verdana"/>
          <w:sz w:val="18"/>
          <w:szCs w:val="18"/>
        </w:rPr>
        <w:t>Sono in corso le implementazioni sui sistemi gestionali e contabili atte all’automatizzazione delle rilevazione dei suddetti indicatori, tali rilevazioni consentiranno di individuare le eventuali azioni correttive da mettere in atto per garantire l’effettivo utilizzo dell’Elenco Operatori Economici</w:t>
      </w:r>
      <w:r w:rsidR="0077787B" w:rsidRPr="00DA23C5">
        <w:rPr>
          <w:rFonts w:ascii="Verdana" w:hAnsi="Verdana"/>
          <w:sz w:val="18"/>
          <w:szCs w:val="18"/>
        </w:rPr>
        <w:t xml:space="preserve">. </w:t>
      </w:r>
      <w:r w:rsidR="00933D96" w:rsidRPr="00DA23C5">
        <w:rPr>
          <w:rFonts w:ascii="Verdana" w:hAnsi="Verdana"/>
          <w:sz w:val="18"/>
          <w:szCs w:val="18"/>
        </w:rPr>
        <w:t>E’ attivo il monitoraggio degli affidamenti diretti al fine di valutarne la riduzione.</w:t>
      </w:r>
    </w:p>
    <w:p w:rsidR="00446271" w:rsidRPr="00DA23C5" w:rsidRDefault="00A47EA2" w:rsidP="00DA23C5">
      <w:pPr>
        <w:pStyle w:val="Testonormale"/>
        <w:rPr>
          <w:rFonts w:ascii="Verdana" w:hAnsi="Verdana"/>
          <w:sz w:val="18"/>
          <w:szCs w:val="18"/>
        </w:rPr>
      </w:pPr>
      <w:r w:rsidRPr="00DA23C5">
        <w:rPr>
          <w:rFonts w:ascii="Verdana" w:hAnsi="Verdana"/>
          <w:sz w:val="18"/>
          <w:szCs w:val="18"/>
        </w:rPr>
        <w:t xml:space="preserve">Sulla base delle rilevazioni al 30 settembre </w:t>
      </w:r>
      <w:r w:rsidR="00082970" w:rsidRPr="00DA23C5">
        <w:rPr>
          <w:rFonts w:ascii="Verdana" w:hAnsi="Verdana"/>
          <w:sz w:val="18"/>
          <w:szCs w:val="18"/>
        </w:rPr>
        <w:t xml:space="preserve">sono state espresse le prime valutazioni di efficacia ed alcune proposte di miglioramento, da tale indagine </w:t>
      </w:r>
      <w:r w:rsidRPr="00DA23C5">
        <w:rPr>
          <w:rFonts w:ascii="Verdana" w:hAnsi="Verdana"/>
          <w:sz w:val="18"/>
          <w:szCs w:val="18"/>
        </w:rPr>
        <w:t>è stimabile una riduzione degli affidamenti diretti di circa il 15 % in termini di numero e di circa il 25 % in termini di importo complessivo.</w:t>
      </w:r>
      <w:r w:rsidR="006F2A45" w:rsidRPr="00DA23C5">
        <w:rPr>
          <w:rFonts w:ascii="Verdana" w:hAnsi="Verdana"/>
          <w:sz w:val="18"/>
          <w:szCs w:val="18"/>
        </w:rPr>
        <w:t xml:space="preserve"> </w:t>
      </w:r>
      <w:r w:rsidR="00AB506B" w:rsidRPr="00DA23C5">
        <w:rPr>
          <w:rFonts w:ascii="Verdana" w:hAnsi="Verdana" w:cs="Arial"/>
          <w:b/>
          <w:sz w:val="18"/>
          <w:szCs w:val="18"/>
        </w:rPr>
        <w:t xml:space="preserve">% </w:t>
      </w:r>
      <w:r w:rsidR="006F2A45" w:rsidRPr="00DA23C5">
        <w:rPr>
          <w:rFonts w:ascii="Verdana" w:hAnsi="Verdana" w:cs="Arial"/>
          <w:b/>
          <w:sz w:val="18"/>
          <w:szCs w:val="18"/>
        </w:rPr>
        <w:t>r</w:t>
      </w:r>
      <w:r w:rsidR="00AB506B" w:rsidRPr="00DA23C5">
        <w:rPr>
          <w:rFonts w:ascii="Verdana" w:hAnsi="Verdana" w:cs="Arial"/>
          <w:b/>
          <w:sz w:val="18"/>
          <w:szCs w:val="18"/>
        </w:rPr>
        <w:t>aggiungimento obiettivo</w:t>
      </w:r>
      <w:r w:rsidR="00E104D4" w:rsidRPr="00DA23C5">
        <w:rPr>
          <w:rFonts w:ascii="Verdana" w:hAnsi="Verdana" w:cs="Arial"/>
          <w:b/>
          <w:sz w:val="18"/>
          <w:szCs w:val="18"/>
        </w:rPr>
        <w:t xml:space="preserve"> 100%.</w:t>
      </w:r>
    </w:p>
    <w:tbl>
      <w:tblPr>
        <w:tblW w:w="9776" w:type="dxa"/>
        <w:tblCellMar>
          <w:left w:w="70" w:type="dxa"/>
          <w:right w:w="70" w:type="dxa"/>
        </w:tblCellMar>
        <w:tblLook w:val="04A0" w:firstRow="1" w:lastRow="0" w:firstColumn="1" w:lastColumn="0" w:noHBand="0" w:noVBand="1"/>
      </w:tblPr>
      <w:tblGrid>
        <w:gridCol w:w="433"/>
        <w:gridCol w:w="3971"/>
        <w:gridCol w:w="4097"/>
        <w:gridCol w:w="1275"/>
      </w:tblGrid>
      <w:tr w:rsidR="00446271" w:rsidRPr="00DA23C5" w:rsidTr="00446271">
        <w:trPr>
          <w:trHeight w:val="263"/>
        </w:trPr>
        <w:tc>
          <w:tcPr>
            <w:tcW w:w="4400" w:type="dxa"/>
            <w:gridSpan w:val="2"/>
            <w:tcBorders>
              <w:top w:val="single" w:sz="4" w:space="0" w:color="auto"/>
              <w:left w:val="single" w:sz="4" w:space="0" w:color="auto"/>
              <w:bottom w:val="nil"/>
              <w:right w:val="single" w:sz="4" w:space="0" w:color="auto"/>
            </w:tcBorders>
            <w:shd w:val="clear" w:color="auto" w:fill="auto"/>
            <w:vAlign w:val="center"/>
            <w:hideMark/>
          </w:tcPr>
          <w:p w:rsidR="00446271" w:rsidRPr="00DA23C5" w:rsidRDefault="00446271" w:rsidP="00446271">
            <w:pPr>
              <w:rPr>
                <w:rFonts w:ascii="Verdana" w:hAnsi="Verdana" w:cs="Arial"/>
                <w:b/>
                <w:bCs/>
                <w:sz w:val="18"/>
                <w:szCs w:val="18"/>
                <w:lang w:eastAsia="it-IT"/>
              </w:rPr>
            </w:pPr>
            <w:r w:rsidRPr="00DA23C5">
              <w:rPr>
                <w:rFonts w:ascii="Verdana" w:hAnsi="Verdana" w:cs="Arial"/>
                <w:b/>
                <w:bCs/>
                <w:sz w:val="18"/>
                <w:szCs w:val="18"/>
                <w:lang w:eastAsia="it-IT"/>
              </w:rPr>
              <w:t> OBIETTIVO STRATEGICO N.5</w:t>
            </w:r>
          </w:p>
        </w:tc>
        <w:tc>
          <w:tcPr>
            <w:tcW w:w="4100" w:type="dxa"/>
            <w:tcBorders>
              <w:top w:val="single" w:sz="4" w:space="0" w:color="auto"/>
              <w:left w:val="nil"/>
              <w:bottom w:val="single" w:sz="4" w:space="0" w:color="000000"/>
              <w:right w:val="single" w:sz="4" w:space="0" w:color="auto"/>
            </w:tcBorders>
            <w:shd w:val="clear" w:color="auto" w:fill="auto"/>
            <w:vAlign w:val="center"/>
            <w:hideMark/>
          </w:tcPr>
          <w:p w:rsidR="00446271" w:rsidRPr="00DA23C5" w:rsidRDefault="00446271" w:rsidP="00446271">
            <w:pPr>
              <w:jc w:val="center"/>
              <w:rPr>
                <w:rFonts w:ascii="Verdana" w:hAnsi="Verdana" w:cs="Arial"/>
                <w:b/>
                <w:bCs/>
                <w:sz w:val="18"/>
                <w:szCs w:val="18"/>
                <w:lang w:eastAsia="it-IT"/>
              </w:rPr>
            </w:pPr>
            <w:r w:rsidRPr="00DA23C5">
              <w:rPr>
                <w:rFonts w:ascii="Verdana" w:hAnsi="Verdana" w:cs="Arial"/>
                <w:b/>
                <w:bCs/>
                <w:sz w:val="18"/>
                <w:szCs w:val="18"/>
                <w:lang w:eastAsia="it-IT"/>
              </w:rPr>
              <w:t>AZIONI</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46271" w:rsidRPr="00DA23C5" w:rsidRDefault="00446271" w:rsidP="00446271">
            <w:pPr>
              <w:jc w:val="center"/>
              <w:rPr>
                <w:rFonts w:ascii="Verdana" w:hAnsi="Verdana" w:cs="Arial"/>
                <w:b/>
                <w:bCs/>
                <w:sz w:val="18"/>
                <w:szCs w:val="18"/>
                <w:lang w:eastAsia="it-IT"/>
              </w:rPr>
            </w:pPr>
            <w:proofErr w:type="gramStart"/>
            <w:r w:rsidRPr="00DA23C5">
              <w:rPr>
                <w:rFonts w:ascii="Verdana" w:hAnsi="Verdana" w:cs="Arial"/>
                <w:b/>
                <w:bCs/>
                <w:sz w:val="18"/>
                <w:szCs w:val="18"/>
                <w:lang w:eastAsia="it-IT"/>
              </w:rPr>
              <w:t>pesi</w:t>
            </w:r>
            <w:proofErr w:type="gramEnd"/>
            <w:r w:rsidRPr="00DA23C5">
              <w:rPr>
                <w:rFonts w:ascii="Verdana" w:hAnsi="Verdana" w:cs="Arial"/>
                <w:b/>
                <w:bCs/>
                <w:sz w:val="18"/>
                <w:szCs w:val="18"/>
                <w:lang w:eastAsia="it-IT"/>
              </w:rPr>
              <w:t xml:space="preserve"> % </w:t>
            </w:r>
          </w:p>
        </w:tc>
      </w:tr>
      <w:tr w:rsidR="00446271" w:rsidRPr="00DA23C5" w:rsidTr="00446271">
        <w:trPr>
          <w:trHeight w:val="90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5</w:t>
            </w:r>
          </w:p>
        </w:tc>
        <w:tc>
          <w:tcPr>
            <w:tcW w:w="3974"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bCs/>
                <w:sz w:val="18"/>
                <w:szCs w:val="18"/>
                <w:lang w:eastAsia="it-IT"/>
              </w:rPr>
            </w:pPr>
            <w:r w:rsidRPr="00DA23C5">
              <w:rPr>
                <w:rFonts w:ascii="Verdana" w:hAnsi="Verdana" w:cs="Arial"/>
                <w:bCs/>
                <w:sz w:val="18"/>
                <w:szCs w:val="18"/>
                <w:lang w:eastAsia="it-IT"/>
              </w:rPr>
              <w:t>Obiettivi sulla qualità tecnica del SII: introduzione (volontaria) del macro-indicatore M3 - qualità dell'acqua erogata (Delibera ARERA 917/2017)</w:t>
            </w:r>
          </w:p>
        </w:tc>
        <w:tc>
          <w:tcPr>
            <w:tcW w:w="4100" w:type="dxa"/>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 </w:t>
            </w:r>
          </w:p>
        </w:tc>
        <w:tc>
          <w:tcPr>
            <w:tcW w:w="1276"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center"/>
              <w:rPr>
                <w:rFonts w:ascii="Verdana" w:hAnsi="Verdana" w:cs="Arial"/>
                <w:bCs/>
                <w:sz w:val="18"/>
                <w:szCs w:val="18"/>
                <w:lang w:eastAsia="it-IT"/>
              </w:rPr>
            </w:pPr>
            <w:r w:rsidRPr="00DA23C5">
              <w:rPr>
                <w:rFonts w:ascii="Verdana" w:hAnsi="Verdana" w:cs="Arial"/>
                <w:bCs/>
                <w:sz w:val="18"/>
                <w:szCs w:val="18"/>
                <w:lang w:eastAsia="it-IT"/>
              </w:rPr>
              <w:t>15%</w:t>
            </w:r>
          </w:p>
        </w:tc>
      </w:tr>
      <w:tr w:rsidR="00446271" w:rsidRPr="00DA23C5" w:rsidTr="00446271">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5.a</w:t>
            </w:r>
          </w:p>
        </w:tc>
        <w:tc>
          <w:tcPr>
            <w:tcW w:w="3974" w:type="dxa"/>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 </w:t>
            </w:r>
          </w:p>
        </w:tc>
        <w:tc>
          <w:tcPr>
            <w:tcW w:w="4100"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Incidenza delle ordinanze di non potabilità.        Target 0%</w:t>
            </w:r>
          </w:p>
        </w:tc>
        <w:tc>
          <w:tcPr>
            <w:tcW w:w="1276" w:type="dxa"/>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5%</w:t>
            </w:r>
          </w:p>
        </w:tc>
      </w:tr>
      <w:tr w:rsidR="00446271" w:rsidRPr="00DA23C5" w:rsidTr="00446271">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5.b</w:t>
            </w:r>
          </w:p>
        </w:tc>
        <w:tc>
          <w:tcPr>
            <w:tcW w:w="3974" w:type="dxa"/>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 </w:t>
            </w:r>
          </w:p>
        </w:tc>
        <w:tc>
          <w:tcPr>
            <w:tcW w:w="4100"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 xml:space="preserve">Tasso di campioni da controlli interni non conformi.                               </w:t>
            </w:r>
            <w:proofErr w:type="gramStart"/>
            <w:r w:rsidRPr="00DA23C5">
              <w:rPr>
                <w:rFonts w:ascii="Verdana" w:hAnsi="Verdana" w:cs="Arial"/>
                <w:sz w:val="18"/>
                <w:szCs w:val="18"/>
                <w:lang w:eastAsia="it-IT"/>
              </w:rPr>
              <w:t>Target :</w:t>
            </w:r>
            <w:proofErr w:type="gramEnd"/>
            <w:r w:rsidRPr="00DA23C5">
              <w:rPr>
                <w:rFonts w:ascii="Verdana" w:hAnsi="Verdana" w:cs="Arial"/>
                <w:sz w:val="18"/>
                <w:szCs w:val="18"/>
                <w:lang w:eastAsia="it-IT"/>
              </w:rPr>
              <w:t xml:space="preserve"> valore inferiore alla media dell'ultimo triennio</w:t>
            </w:r>
          </w:p>
        </w:tc>
        <w:tc>
          <w:tcPr>
            <w:tcW w:w="1276" w:type="dxa"/>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5%</w:t>
            </w:r>
          </w:p>
        </w:tc>
      </w:tr>
      <w:tr w:rsidR="00446271" w:rsidRPr="00DA23C5" w:rsidTr="00446271">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5.c</w:t>
            </w:r>
          </w:p>
        </w:tc>
        <w:tc>
          <w:tcPr>
            <w:tcW w:w="3974" w:type="dxa"/>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 </w:t>
            </w:r>
          </w:p>
        </w:tc>
        <w:tc>
          <w:tcPr>
            <w:tcW w:w="4100" w:type="dxa"/>
            <w:tcBorders>
              <w:top w:val="nil"/>
              <w:left w:val="nil"/>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Tasso di parametri da controlli interni non conformi.                                    Target: valore inferiore alla media dell'ultimo triennio</w:t>
            </w:r>
          </w:p>
        </w:tc>
        <w:tc>
          <w:tcPr>
            <w:tcW w:w="1276" w:type="dxa"/>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5%</w:t>
            </w:r>
          </w:p>
        </w:tc>
      </w:tr>
    </w:tbl>
    <w:p w:rsidR="009D537A" w:rsidRPr="00DA23C5" w:rsidRDefault="00446271" w:rsidP="009D537A">
      <w:pPr>
        <w:rPr>
          <w:rFonts w:ascii="Verdana" w:hAnsi="Verdana"/>
          <w:sz w:val="18"/>
          <w:szCs w:val="18"/>
        </w:rPr>
      </w:pPr>
      <w:r w:rsidRPr="00DA23C5">
        <w:rPr>
          <w:rFonts w:ascii="Verdana" w:hAnsi="Verdana"/>
          <w:sz w:val="18"/>
          <w:szCs w:val="18"/>
        </w:rPr>
        <w:t>Di seguito la rilevazione di preconsuntivo su ciascuna delle azioni: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90"/>
        <w:gridCol w:w="3384"/>
        <w:gridCol w:w="3959"/>
        <w:gridCol w:w="850"/>
        <w:gridCol w:w="709"/>
      </w:tblGrid>
      <w:tr w:rsidR="00446271" w:rsidRPr="00DA23C5" w:rsidTr="00DA23C5">
        <w:trPr>
          <w:gridAfter w:val="1"/>
          <w:wAfter w:w="709" w:type="dxa"/>
          <w:trHeight w:val="451"/>
        </w:trPr>
        <w:tc>
          <w:tcPr>
            <w:tcW w:w="1016" w:type="dxa"/>
            <w:gridSpan w:val="2"/>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5.a</w:t>
            </w:r>
          </w:p>
        </w:tc>
        <w:tc>
          <w:tcPr>
            <w:tcW w:w="8193" w:type="dxa"/>
            <w:gridSpan w:val="3"/>
            <w:shd w:val="clear" w:color="auto" w:fill="auto"/>
            <w:vAlign w:val="bottom"/>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 Target=0%</w:t>
            </w:r>
          </w:p>
          <w:p w:rsidR="00AB506B" w:rsidRPr="00DA23C5" w:rsidRDefault="00446271" w:rsidP="00AB506B">
            <w:pPr>
              <w:rPr>
                <w:rFonts w:ascii="Verdana" w:hAnsi="Verdana"/>
                <w:b/>
                <w:sz w:val="18"/>
                <w:szCs w:val="18"/>
              </w:rPr>
            </w:pPr>
            <w:r w:rsidRPr="00DA23C5">
              <w:rPr>
                <w:rFonts w:ascii="Verdana" w:hAnsi="Verdana" w:cs="Arial"/>
                <w:sz w:val="18"/>
                <w:szCs w:val="18"/>
                <w:lang w:eastAsia="it-IT"/>
              </w:rPr>
              <w:t>Preconsuntivo = 0%</w:t>
            </w:r>
            <w:r w:rsidR="00AB506B" w:rsidRPr="00DA23C5">
              <w:rPr>
                <w:rFonts w:ascii="Verdana" w:hAnsi="Verdana" w:cs="Arial"/>
                <w:sz w:val="18"/>
                <w:szCs w:val="18"/>
                <w:lang w:eastAsia="it-IT"/>
              </w:rPr>
              <w:t xml:space="preserve"> </w:t>
            </w:r>
            <w:r w:rsidR="0063640A" w:rsidRPr="00DA23C5">
              <w:rPr>
                <w:rFonts w:ascii="Verdana" w:hAnsi="Verdana" w:cs="Arial"/>
                <w:sz w:val="18"/>
                <w:szCs w:val="18"/>
                <w:lang w:eastAsia="it-IT"/>
              </w:rPr>
              <w:t xml:space="preserve">          </w:t>
            </w:r>
            <w:r w:rsidR="00AB506B" w:rsidRPr="00DA23C5">
              <w:rPr>
                <w:rFonts w:ascii="Verdana" w:hAnsi="Verdana" w:cs="Arial"/>
                <w:sz w:val="18"/>
                <w:szCs w:val="18"/>
                <w:lang w:eastAsia="it-IT"/>
              </w:rPr>
              <w:t xml:space="preserve"> </w:t>
            </w:r>
            <w:r w:rsidR="00AB506B" w:rsidRPr="00DA23C5">
              <w:rPr>
                <w:rFonts w:ascii="Verdana" w:hAnsi="Verdana" w:cs="Arial"/>
                <w:b/>
                <w:sz w:val="18"/>
                <w:szCs w:val="18"/>
                <w:lang w:eastAsia="it-IT"/>
              </w:rPr>
              <w:t>% raggiungimento obiettivo</w:t>
            </w:r>
            <w:r w:rsidR="00604A9B" w:rsidRPr="00DA23C5">
              <w:rPr>
                <w:rFonts w:ascii="Verdana" w:hAnsi="Verdana" w:cs="Arial"/>
                <w:b/>
                <w:sz w:val="18"/>
                <w:szCs w:val="18"/>
                <w:lang w:eastAsia="it-IT"/>
              </w:rPr>
              <w:t xml:space="preserve"> 100%</w:t>
            </w:r>
          </w:p>
          <w:p w:rsidR="00446271" w:rsidRPr="00DA23C5" w:rsidRDefault="00446271" w:rsidP="00446271">
            <w:pPr>
              <w:jc w:val="both"/>
              <w:rPr>
                <w:rFonts w:ascii="Verdana" w:hAnsi="Verdana" w:cs="Arial"/>
                <w:sz w:val="18"/>
                <w:szCs w:val="18"/>
                <w:lang w:eastAsia="it-IT"/>
              </w:rPr>
            </w:pPr>
          </w:p>
        </w:tc>
      </w:tr>
      <w:tr w:rsidR="00446271" w:rsidRPr="00DA23C5" w:rsidTr="00DA23C5">
        <w:trPr>
          <w:gridAfter w:val="1"/>
          <w:wAfter w:w="709" w:type="dxa"/>
          <w:trHeight w:val="510"/>
        </w:trPr>
        <w:tc>
          <w:tcPr>
            <w:tcW w:w="1016" w:type="dxa"/>
            <w:gridSpan w:val="2"/>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lastRenderedPageBreak/>
              <w:t>5.b</w:t>
            </w:r>
          </w:p>
        </w:tc>
        <w:tc>
          <w:tcPr>
            <w:tcW w:w="8193" w:type="dxa"/>
            <w:gridSpan w:val="3"/>
            <w:shd w:val="clear" w:color="auto" w:fill="auto"/>
            <w:vAlign w:val="bottom"/>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 Target (media 2019-</w:t>
            </w:r>
            <w:proofErr w:type="gramStart"/>
            <w:r w:rsidRPr="00DA23C5">
              <w:rPr>
                <w:rFonts w:ascii="Verdana" w:hAnsi="Verdana" w:cs="Arial"/>
                <w:sz w:val="18"/>
                <w:szCs w:val="18"/>
                <w:lang w:eastAsia="it-IT"/>
              </w:rPr>
              <w:t>2021)=</w:t>
            </w:r>
            <w:proofErr w:type="gramEnd"/>
            <w:r w:rsidRPr="00DA23C5">
              <w:rPr>
                <w:rFonts w:ascii="Verdana" w:hAnsi="Verdana" w:cs="Arial"/>
                <w:sz w:val="18"/>
                <w:szCs w:val="18"/>
                <w:lang w:eastAsia="it-IT"/>
              </w:rPr>
              <w:t>1,28%</w:t>
            </w:r>
          </w:p>
          <w:p w:rsidR="00AB506B" w:rsidRPr="00DA23C5" w:rsidRDefault="00446271" w:rsidP="00AB506B">
            <w:pPr>
              <w:rPr>
                <w:rFonts w:ascii="Verdana" w:hAnsi="Verdana"/>
                <w:b/>
                <w:sz w:val="18"/>
                <w:szCs w:val="18"/>
              </w:rPr>
            </w:pPr>
            <w:r w:rsidRPr="00DA23C5">
              <w:rPr>
                <w:rFonts w:ascii="Verdana" w:hAnsi="Verdana" w:cs="Arial"/>
                <w:sz w:val="18"/>
                <w:szCs w:val="18"/>
                <w:lang w:eastAsia="it-IT"/>
              </w:rPr>
              <w:t>Preconsuntivo &lt; 1,28%</w:t>
            </w:r>
            <w:r w:rsidR="0063640A" w:rsidRPr="00DA23C5">
              <w:rPr>
                <w:rFonts w:ascii="Verdana" w:hAnsi="Verdana" w:cs="Arial"/>
                <w:sz w:val="18"/>
                <w:szCs w:val="18"/>
                <w:lang w:eastAsia="it-IT"/>
              </w:rPr>
              <w:t xml:space="preserve">      </w:t>
            </w:r>
            <w:r w:rsidR="00AB506B" w:rsidRPr="00DA23C5">
              <w:rPr>
                <w:rFonts w:ascii="Verdana" w:hAnsi="Verdana" w:cs="Arial"/>
                <w:b/>
                <w:sz w:val="18"/>
                <w:szCs w:val="18"/>
                <w:lang w:eastAsia="it-IT"/>
              </w:rPr>
              <w:t>% raggiungimento obiettivo</w:t>
            </w:r>
            <w:r w:rsidR="0063640A" w:rsidRPr="00DA23C5">
              <w:rPr>
                <w:rFonts w:ascii="Verdana" w:hAnsi="Verdana" w:cs="Arial"/>
                <w:b/>
                <w:sz w:val="18"/>
                <w:szCs w:val="18"/>
                <w:lang w:eastAsia="it-IT"/>
              </w:rPr>
              <w:t xml:space="preserve"> 100%</w:t>
            </w:r>
          </w:p>
          <w:p w:rsidR="00446271" w:rsidRPr="00DA23C5" w:rsidRDefault="00446271" w:rsidP="00446271">
            <w:pPr>
              <w:jc w:val="both"/>
              <w:rPr>
                <w:rFonts w:ascii="Verdana" w:hAnsi="Verdana" w:cs="Arial"/>
                <w:sz w:val="18"/>
                <w:szCs w:val="18"/>
                <w:lang w:eastAsia="it-IT"/>
              </w:rPr>
            </w:pPr>
          </w:p>
        </w:tc>
      </w:tr>
      <w:tr w:rsidR="00446271" w:rsidRPr="00DA23C5" w:rsidTr="00DA23C5">
        <w:trPr>
          <w:gridAfter w:val="1"/>
          <w:wAfter w:w="709" w:type="dxa"/>
          <w:trHeight w:val="510"/>
        </w:trPr>
        <w:tc>
          <w:tcPr>
            <w:tcW w:w="1016" w:type="dxa"/>
            <w:gridSpan w:val="2"/>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5.c</w:t>
            </w:r>
          </w:p>
        </w:tc>
        <w:tc>
          <w:tcPr>
            <w:tcW w:w="8193" w:type="dxa"/>
            <w:gridSpan w:val="3"/>
            <w:shd w:val="clear" w:color="auto" w:fill="auto"/>
            <w:vAlign w:val="bottom"/>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 Target (media 2019-</w:t>
            </w:r>
            <w:proofErr w:type="gramStart"/>
            <w:r w:rsidRPr="00DA23C5">
              <w:rPr>
                <w:rFonts w:ascii="Verdana" w:hAnsi="Verdana" w:cs="Arial"/>
                <w:sz w:val="18"/>
                <w:szCs w:val="18"/>
                <w:lang w:eastAsia="it-IT"/>
              </w:rPr>
              <w:t>2021)=</w:t>
            </w:r>
            <w:proofErr w:type="gramEnd"/>
            <w:r w:rsidRPr="00DA23C5">
              <w:rPr>
                <w:rFonts w:ascii="Verdana" w:hAnsi="Verdana" w:cs="Arial"/>
                <w:sz w:val="18"/>
                <w:szCs w:val="18"/>
                <w:lang w:eastAsia="it-IT"/>
              </w:rPr>
              <w:t>0,04%</w:t>
            </w:r>
          </w:p>
          <w:p w:rsidR="00AB506B" w:rsidRPr="00DA23C5" w:rsidRDefault="00446271" w:rsidP="00AB506B">
            <w:pPr>
              <w:rPr>
                <w:rFonts w:ascii="Verdana" w:hAnsi="Verdana"/>
                <w:b/>
                <w:sz w:val="18"/>
                <w:szCs w:val="18"/>
              </w:rPr>
            </w:pPr>
            <w:r w:rsidRPr="00DA23C5">
              <w:rPr>
                <w:rFonts w:ascii="Verdana" w:hAnsi="Verdana" w:cs="Arial"/>
                <w:sz w:val="18"/>
                <w:szCs w:val="18"/>
                <w:lang w:eastAsia="it-IT"/>
              </w:rPr>
              <w:t>Preconsuntivo &lt; 0,04%</w:t>
            </w:r>
            <w:r w:rsidR="0063640A" w:rsidRPr="00DA23C5">
              <w:rPr>
                <w:rFonts w:ascii="Verdana" w:hAnsi="Verdana" w:cs="Arial"/>
                <w:sz w:val="18"/>
                <w:szCs w:val="18"/>
                <w:lang w:eastAsia="it-IT"/>
              </w:rPr>
              <w:t xml:space="preserve">     </w:t>
            </w:r>
            <w:r w:rsidR="00AB506B" w:rsidRPr="00DA23C5">
              <w:rPr>
                <w:rFonts w:ascii="Verdana" w:hAnsi="Verdana" w:cs="Arial"/>
                <w:b/>
                <w:sz w:val="18"/>
                <w:szCs w:val="18"/>
                <w:lang w:eastAsia="it-IT"/>
              </w:rPr>
              <w:t>% raggiungimento obiettivo</w:t>
            </w:r>
            <w:r w:rsidR="0063640A" w:rsidRPr="00DA23C5">
              <w:rPr>
                <w:rFonts w:ascii="Verdana" w:hAnsi="Verdana" w:cs="Arial"/>
                <w:b/>
                <w:sz w:val="18"/>
                <w:szCs w:val="18"/>
                <w:lang w:eastAsia="it-IT"/>
              </w:rPr>
              <w:t xml:space="preserve"> 100%</w:t>
            </w:r>
          </w:p>
          <w:p w:rsidR="00446271" w:rsidRPr="00DA23C5" w:rsidRDefault="00446271" w:rsidP="00446271">
            <w:pPr>
              <w:jc w:val="both"/>
              <w:rPr>
                <w:rFonts w:ascii="Verdana" w:hAnsi="Verdana" w:cs="Arial"/>
                <w:sz w:val="18"/>
                <w:szCs w:val="18"/>
                <w:lang w:eastAsia="it-IT"/>
              </w:rPr>
            </w:pPr>
          </w:p>
        </w:tc>
      </w:tr>
      <w:tr w:rsidR="00446271" w:rsidRPr="00DA23C5" w:rsidTr="00DA2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400" w:type="dxa"/>
            <w:gridSpan w:val="3"/>
            <w:tcBorders>
              <w:top w:val="single" w:sz="4" w:space="0" w:color="auto"/>
              <w:left w:val="single" w:sz="4" w:space="0" w:color="auto"/>
              <w:bottom w:val="nil"/>
              <w:right w:val="single" w:sz="4" w:space="0" w:color="auto"/>
            </w:tcBorders>
            <w:shd w:val="clear" w:color="auto" w:fill="auto"/>
            <w:vAlign w:val="center"/>
            <w:hideMark/>
          </w:tcPr>
          <w:p w:rsidR="00446271" w:rsidRPr="00DA23C5" w:rsidRDefault="00446271" w:rsidP="00446271">
            <w:pPr>
              <w:rPr>
                <w:rFonts w:ascii="Verdana" w:hAnsi="Verdana" w:cs="Arial"/>
                <w:b/>
                <w:bCs/>
                <w:sz w:val="18"/>
                <w:szCs w:val="18"/>
                <w:lang w:eastAsia="it-IT"/>
              </w:rPr>
            </w:pPr>
            <w:r w:rsidRPr="00DA23C5">
              <w:rPr>
                <w:rFonts w:ascii="Verdana" w:hAnsi="Verdana" w:cs="Arial"/>
                <w:b/>
                <w:bCs/>
                <w:sz w:val="18"/>
                <w:szCs w:val="18"/>
                <w:lang w:eastAsia="it-IT"/>
              </w:rPr>
              <w:t> OBIETTIVO STRATEGICO N.6</w:t>
            </w:r>
          </w:p>
        </w:tc>
        <w:tc>
          <w:tcPr>
            <w:tcW w:w="3959" w:type="dxa"/>
            <w:tcBorders>
              <w:top w:val="single" w:sz="4" w:space="0" w:color="auto"/>
              <w:left w:val="nil"/>
              <w:bottom w:val="single" w:sz="4" w:space="0" w:color="000000"/>
              <w:right w:val="single" w:sz="4" w:space="0" w:color="auto"/>
            </w:tcBorders>
            <w:shd w:val="clear" w:color="auto" w:fill="auto"/>
            <w:vAlign w:val="center"/>
            <w:hideMark/>
          </w:tcPr>
          <w:p w:rsidR="00446271" w:rsidRPr="00DA23C5" w:rsidRDefault="00446271" w:rsidP="00446271">
            <w:pPr>
              <w:jc w:val="center"/>
              <w:rPr>
                <w:rFonts w:ascii="Verdana" w:hAnsi="Verdana" w:cs="Arial"/>
                <w:b/>
                <w:bCs/>
                <w:sz w:val="18"/>
                <w:szCs w:val="18"/>
                <w:lang w:eastAsia="it-IT"/>
              </w:rPr>
            </w:pPr>
            <w:r w:rsidRPr="00DA23C5">
              <w:rPr>
                <w:rFonts w:ascii="Verdana" w:hAnsi="Verdana" w:cs="Arial"/>
                <w:b/>
                <w:bCs/>
                <w:sz w:val="18"/>
                <w:szCs w:val="18"/>
                <w:lang w:eastAsia="it-IT"/>
              </w:rPr>
              <w:t>AZIONI</w:t>
            </w:r>
          </w:p>
        </w:tc>
        <w:tc>
          <w:tcPr>
            <w:tcW w:w="1559"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446271" w:rsidRPr="00DA23C5" w:rsidRDefault="00446271" w:rsidP="00446271">
            <w:pPr>
              <w:jc w:val="center"/>
              <w:rPr>
                <w:rFonts w:ascii="Verdana" w:hAnsi="Verdana" w:cs="Arial"/>
                <w:b/>
                <w:bCs/>
                <w:sz w:val="18"/>
                <w:szCs w:val="18"/>
                <w:lang w:eastAsia="it-IT"/>
              </w:rPr>
            </w:pPr>
            <w:proofErr w:type="gramStart"/>
            <w:r w:rsidRPr="00DA23C5">
              <w:rPr>
                <w:rFonts w:ascii="Verdana" w:hAnsi="Verdana" w:cs="Arial"/>
                <w:b/>
                <w:bCs/>
                <w:sz w:val="18"/>
                <w:szCs w:val="18"/>
                <w:lang w:eastAsia="it-IT"/>
              </w:rPr>
              <w:t>pesi</w:t>
            </w:r>
            <w:proofErr w:type="gramEnd"/>
            <w:r w:rsidRPr="00DA23C5">
              <w:rPr>
                <w:rFonts w:ascii="Verdana" w:hAnsi="Verdana" w:cs="Arial"/>
                <w:b/>
                <w:bCs/>
                <w:sz w:val="18"/>
                <w:szCs w:val="18"/>
                <w:lang w:eastAsia="it-IT"/>
              </w:rPr>
              <w:t xml:space="preserve"> % </w:t>
            </w:r>
          </w:p>
        </w:tc>
      </w:tr>
      <w:tr w:rsidR="00446271" w:rsidRPr="00DA23C5" w:rsidTr="00DA2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6</w:t>
            </w:r>
          </w:p>
        </w:tc>
        <w:tc>
          <w:tcPr>
            <w:tcW w:w="3974" w:type="dxa"/>
            <w:gridSpan w:val="2"/>
            <w:tcBorders>
              <w:top w:val="nil"/>
              <w:left w:val="nil"/>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bCs/>
                <w:sz w:val="18"/>
                <w:szCs w:val="18"/>
                <w:lang w:eastAsia="it-IT"/>
              </w:rPr>
            </w:pPr>
            <w:r w:rsidRPr="00DA23C5">
              <w:rPr>
                <w:rFonts w:ascii="Verdana" w:hAnsi="Verdana" w:cs="Arial"/>
                <w:bCs/>
                <w:sz w:val="18"/>
                <w:szCs w:val="18"/>
                <w:lang w:eastAsia="it-IT"/>
              </w:rPr>
              <w:t xml:space="preserve">Avanzamento del "Progetto di incorporazione in Romagna Acque - Società delle Fonti S.p.A. di tutti gli </w:t>
            </w:r>
            <w:proofErr w:type="spellStart"/>
            <w:r w:rsidRPr="00DA23C5">
              <w:rPr>
                <w:rFonts w:ascii="Verdana" w:hAnsi="Verdana" w:cs="Arial"/>
                <w:bCs/>
                <w:sz w:val="18"/>
                <w:szCs w:val="18"/>
                <w:lang w:eastAsia="it-IT"/>
              </w:rPr>
              <w:t>asset</w:t>
            </w:r>
            <w:proofErr w:type="spellEnd"/>
            <w:r w:rsidRPr="00DA23C5">
              <w:rPr>
                <w:rFonts w:ascii="Verdana" w:hAnsi="Verdana" w:cs="Arial"/>
                <w:bCs/>
                <w:sz w:val="18"/>
                <w:szCs w:val="18"/>
                <w:lang w:eastAsia="it-IT"/>
              </w:rPr>
              <w:t xml:space="preserve"> del ciclo idrico della Romagna non iscritti al patrimonio del gestore del SII" a seguito di riscontro da parte di ARERA in relazione alla "motivata istanza" presentata da ATERSIR con deliberazione n. 18/2021</w:t>
            </w:r>
          </w:p>
        </w:tc>
        <w:tc>
          <w:tcPr>
            <w:tcW w:w="3959" w:type="dxa"/>
            <w:tcBorders>
              <w:top w:val="nil"/>
              <w:left w:val="nil"/>
              <w:bottom w:val="single" w:sz="4" w:space="0" w:color="auto"/>
              <w:right w:val="single" w:sz="4" w:space="0" w:color="auto"/>
            </w:tcBorders>
            <w:shd w:val="clear" w:color="auto" w:fill="auto"/>
            <w:vAlign w:val="center"/>
            <w:hideMark/>
          </w:tcPr>
          <w:p w:rsidR="00446271" w:rsidRPr="00DA23C5" w:rsidRDefault="00446271" w:rsidP="00446271">
            <w:pPr>
              <w:jc w:val="both"/>
              <w:rPr>
                <w:rFonts w:ascii="Verdana" w:hAnsi="Verdana" w:cs="Arial"/>
                <w:sz w:val="18"/>
                <w:szCs w:val="18"/>
                <w:lang w:eastAsia="it-IT"/>
              </w:rPr>
            </w:pPr>
            <w:r w:rsidRPr="00DA23C5">
              <w:rPr>
                <w:rFonts w:ascii="Verdana" w:hAnsi="Verdana" w:cs="Arial"/>
                <w:sz w:val="18"/>
                <w:szCs w:val="18"/>
                <w:lang w:eastAsia="it-IT"/>
              </w:rPr>
              <w:t>Monitoraggio sulle determinazioni di ARERA relativamente alle istanze presentate da ATERSIR nel 2021</w:t>
            </w:r>
          </w:p>
        </w:tc>
        <w:tc>
          <w:tcPr>
            <w:tcW w:w="1559" w:type="dxa"/>
            <w:gridSpan w:val="2"/>
            <w:tcBorders>
              <w:top w:val="nil"/>
              <w:left w:val="nil"/>
              <w:bottom w:val="single" w:sz="4" w:space="0" w:color="auto"/>
              <w:right w:val="single" w:sz="4" w:space="0" w:color="auto"/>
            </w:tcBorders>
            <w:shd w:val="clear" w:color="auto" w:fill="auto"/>
            <w:hideMark/>
          </w:tcPr>
          <w:p w:rsidR="00446271" w:rsidRPr="00DA23C5" w:rsidRDefault="00446271" w:rsidP="00446271">
            <w:pPr>
              <w:jc w:val="center"/>
              <w:rPr>
                <w:rFonts w:ascii="Verdana" w:hAnsi="Verdana" w:cs="Arial"/>
                <w:bCs/>
                <w:sz w:val="18"/>
                <w:szCs w:val="18"/>
                <w:lang w:eastAsia="it-IT"/>
              </w:rPr>
            </w:pPr>
            <w:r w:rsidRPr="00DA23C5">
              <w:rPr>
                <w:rFonts w:ascii="Verdana" w:hAnsi="Verdana" w:cs="Arial"/>
                <w:bCs/>
                <w:sz w:val="18"/>
                <w:szCs w:val="18"/>
                <w:lang w:eastAsia="it-IT"/>
              </w:rPr>
              <w:t>10%</w:t>
            </w:r>
          </w:p>
        </w:tc>
      </w:tr>
      <w:tr w:rsidR="00446271" w:rsidRPr="00DA23C5" w:rsidTr="00DA2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6" w:type="dxa"/>
            <w:tcBorders>
              <w:top w:val="nil"/>
              <w:left w:val="single" w:sz="4" w:space="0" w:color="auto"/>
              <w:bottom w:val="single" w:sz="4" w:space="0" w:color="auto"/>
              <w:right w:val="nil"/>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 </w:t>
            </w:r>
          </w:p>
        </w:tc>
        <w:tc>
          <w:tcPr>
            <w:tcW w:w="3974" w:type="dxa"/>
            <w:gridSpan w:val="2"/>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rPr>
                <w:rFonts w:ascii="Verdana" w:hAnsi="Verdana" w:cs="Arial"/>
                <w:bCs/>
                <w:sz w:val="18"/>
                <w:szCs w:val="18"/>
                <w:lang w:eastAsia="it-IT"/>
              </w:rPr>
            </w:pPr>
            <w:r w:rsidRPr="00DA23C5">
              <w:rPr>
                <w:rFonts w:ascii="Verdana" w:hAnsi="Verdana" w:cs="Arial"/>
                <w:bCs/>
                <w:sz w:val="18"/>
                <w:szCs w:val="18"/>
                <w:lang w:eastAsia="it-IT"/>
              </w:rPr>
              <w:t>TOTALE</w:t>
            </w:r>
          </w:p>
        </w:tc>
        <w:tc>
          <w:tcPr>
            <w:tcW w:w="3959" w:type="dxa"/>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ind w:firstLineChars="100" w:firstLine="180"/>
              <w:jc w:val="right"/>
              <w:rPr>
                <w:rFonts w:ascii="Verdana" w:hAnsi="Verdana" w:cs="Arial"/>
                <w:sz w:val="18"/>
                <w:szCs w:val="18"/>
                <w:lang w:eastAsia="it-IT"/>
              </w:rPr>
            </w:pPr>
            <w:r w:rsidRPr="00DA23C5">
              <w:rPr>
                <w:rFonts w:ascii="Verdana" w:hAnsi="Verdana" w:cs="Arial"/>
                <w:sz w:val="18"/>
                <w:szCs w:val="18"/>
                <w:lang w:eastAsia="it-IT"/>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100%</w:t>
            </w:r>
          </w:p>
        </w:tc>
      </w:tr>
    </w:tbl>
    <w:p w:rsidR="00AB506B" w:rsidRPr="00DA23C5" w:rsidRDefault="00AB506B" w:rsidP="00F9651D">
      <w:pPr>
        <w:rPr>
          <w:rFonts w:ascii="Verdana" w:hAnsi="Verdana" w:cs="Arial"/>
          <w:b/>
          <w:color w:val="FF0000"/>
          <w:sz w:val="18"/>
          <w:szCs w:val="18"/>
          <w:lang w:eastAsia="it-IT"/>
        </w:rPr>
      </w:pPr>
      <w:r w:rsidRPr="00DA23C5">
        <w:rPr>
          <w:rFonts w:ascii="Verdana" w:hAnsi="Verdana" w:cs="Arial"/>
          <w:sz w:val="18"/>
          <w:szCs w:val="18"/>
          <w:lang w:eastAsia="it-IT"/>
        </w:rPr>
        <w:t> </w:t>
      </w:r>
      <w:r w:rsidR="00082970" w:rsidRPr="00DA23C5">
        <w:rPr>
          <w:rFonts w:ascii="Verdana" w:hAnsi="Verdana"/>
          <w:sz w:val="18"/>
          <w:szCs w:val="18"/>
        </w:rPr>
        <w:t>Di seguito la rilevazione di preconsuntivo:</w:t>
      </w:r>
    </w:p>
    <w:p w:rsidR="00446271" w:rsidRPr="00DA23C5" w:rsidRDefault="00446271" w:rsidP="00446271">
      <w:pPr>
        <w:jc w:val="both"/>
        <w:rPr>
          <w:rFonts w:ascii="Verdana" w:hAnsi="Verdana" w:cs="Arial"/>
          <w:bCs/>
          <w:sz w:val="18"/>
          <w:szCs w:val="18"/>
          <w:lang w:eastAsia="it-IT"/>
        </w:rPr>
      </w:pPr>
      <w:r w:rsidRPr="00DA23C5">
        <w:rPr>
          <w:rFonts w:ascii="Verdana" w:hAnsi="Verdana" w:cs="Arial"/>
          <w:bCs/>
          <w:sz w:val="18"/>
          <w:szCs w:val="18"/>
          <w:lang w:eastAsia="it-IT"/>
        </w:rPr>
        <w:t xml:space="preserve">ARERA ha approvato lo schema </w:t>
      </w:r>
      <w:proofErr w:type="spellStart"/>
      <w:r w:rsidRPr="00DA23C5">
        <w:rPr>
          <w:rFonts w:ascii="Verdana" w:hAnsi="Verdana" w:cs="Arial"/>
          <w:bCs/>
          <w:sz w:val="18"/>
          <w:szCs w:val="18"/>
          <w:lang w:eastAsia="it-IT"/>
        </w:rPr>
        <w:t>regolatorio</w:t>
      </w:r>
      <w:proofErr w:type="spellEnd"/>
      <w:r w:rsidRPr="00DA23C5">
        <w:rPr>
          <w:rFonts w:ascii="Verdana" w:hAnsi="Verdana" w:cs="Arial"/>
          <w:bCs/>
          <w:sz w:val="18"/>
          <w:szCs w:val="18"/>
          <w:lang w:eastAsia="it-IT"/>
        </w:rPr>
        <w:t xml:space="preserve"> e tariffario proposto da ATERSIR nell’ambito degli adempimenti ex MTI-3 (periodo 2020-2023) per i bacini tariffari di FC e RA, rispettivamente con delibere n. 581/2021/R/IDR del 14 dicembre 2021 e n. 569/2021/R/IDR del 9 dicembre 2021. Lo schema </w:t>
      </w:r>
      <w:proofErr w:type="spellStart"/>
      <w:r w:rsidRPr="00DA23C5">
        <w:rPr>
          <w:rFonts w:ascii="Verdana" w:hAnsi="Verdana" w:cs="Arial"/>
          <w:bCs/>
          <w:sz w:val="18"/>
          <w:szCs w:val="18"/>
          <w:lang w:eastAsia="it-IT"/>
        </w:rPr>
        <w:t>regolatorio</w:t>
      </w:r>
      <w:proofErr w:type="spellEnd"/>
      <w:r w:rsidRPr="00DA23C5">
        <w:rPr>
          <w:rFonts w:ascii="Verdana" w:hAnsi="Verdana" w:cs="Arial"/>
          <w:bCs/>
          <w:sz w:val="18"/>
          <w:szCs w:val="18"/>
          <w:lang w:eastAsia="it-IT"/>
        </w:rPr>
        <w:t xml:space="preserve"> si compone di:</w:t>
      </w:r>
    </w:p>
    <w:p w:rsidR="00446271" w:rsidRPr="00DA23C5" w:rsidRDefault="00446271" w:rsidP="00446271">
      <w:pPr>
        <w:pStyle w:val="Paragrafoelenco"/>
        <w:numPr>
          <w:ilvl w:val="0"/>
          <w:numId w:val="11"/>
        </w:numPr>
        <w:jc w:val="both"/>
        <w:rPr>
          <w:rFonts w:ascii="Verdana" w:hAnsi="Verdana" w:cs="Arial"/>
          <w:bCs/>
          <w:sz w:val="18"/>
          <w:szCs w:val="18"/>
          <w:lang w:eastAsia="it-IT"/>
        </w:rPr>
      </w:pPr>
      <w:r w:rsidRPr="00DA23C5">
        <w:rPr>
          <w:rFonts w:ascii="Verdana" w:hAnsi="Verdana" w:cs="Arial"/>
          <w:bCs/>
          <w:sz w:val="18"/>
          <w:szCs w:val="18"/>
          <w:lang w:eastAsia="it-IT"/>
        </w:rPr>
        <w:t>Piano degli Interventi e Piano delle Opere Strategiche;</w:t>
      </w:r>
    </w:p>
    <w:p w:rsidR="00446271" w:rsidRPr="00DA23C5" w:rsidRDefault="00446271" w:rsidP="00446271">
      <w:pPr>
        <w:pStyle w:val="Paragrafoelenco"/>
        <w:numPr>
          <w:ilvl w:val="0"/>
          <w:numId w:val="11"/>
        </w:numPr>
        <w:jc w:val="both"/>
        <w:rPr>
          <w:rFonts w:ascii="Verdana" w:hAnsi="Verdana" w:cs="Arial"/>
          <w:bCs/>
          <w:sz w:val="18"/>
          <w:szCs w:val="18"/>
          <w:lang w:eastAsia="it-IT"/>
        </w:rPr>
      </w:pPr>
      <w:r w:rsidRPr="00DA23C5">
        <w:rPr>
          <w:rFonts w:ascii="Verdana" w:hAnsi="Verdana" w:cs="Arial"/>
          <w:bCs/>
          <w:sz w:val="18"/>
          <w:szCs w:val="18"/>
          <w:lang w:eastAsia="it-IT"/>
        </w:rPr>
        <w:t>Pieno Economico Finanziario.</w:t>
      </w:r>
    </w:p>
    <w:p w:rsidR="00446271" w:rsidRPr="00DA23C5" w:rsidRDefault="00446271" w:rsidP="00446271">
      <w:pPr>
        <w:jc w:val="both"/>
        <w:rPr>
          <w:rFonts w:ascii="Verdana" w:hAnsi="Verdana" w:cs="Arial"/>
          <w:bCs/>
          <w:sz w:val="18"/>
          <w:szCs w:val="18"/>
          <w:lang w:eastAsia="it-IT"/>
        </w:rPr>
      </w:pPr>
      <w:r w:rsidRPr="00DA23C5">
        <w:rPr>
          <w:rFonts w:ascii="Verdana" w:hAnsi="Verdana" w:cs="Arial"/>
          <w:bCs/>
          <w:sz w:val="18"/>
          <w:szCs w:val="18"/>
          <w:lang w:eastAsia="it-IT"/>
        </w:rPr>
        <w:t>Tali documenti declinano i maggiori costi e i maggiori investimenti che il gestore del SII si impegna ad attuare a far data dal 2022, a fronte di una proroga della concessione fino al 31.12.2028. I maggiori investimenti sono possibili grazie ai nuovi canoni da riconoscere alle società patrimoniali come declinati nel progetto in oggetto; ARERA ha così approvato la motivata istanza proposta da ATERSIR ivi compreso l’adeguamento dei canoni delle società patrimoniali (delibera CAMB/2020/86 del 21.12.2020).</w:t>
      </w:r>
    </w:p>
    <w:p w:rsidR="00446271" w:rsidRPr="00DA23C5" w:rsidRDefault="00446271" w:rsidP="00446271">
      <w:pPr>
        <w:jc w:val="both"/>
        <w:rPr>
          <w:rFonts w:ascii="Verdana" w:hAnsi="Verdana" w:cs="Arial"/>
          <w:bCs/>
          <w:sz w:val="18"/>
          <w:szCs w:val="18"/>
          <w:lang w:eastAsia="it-IT"/>
        </w:rPr>
      </w:pPr>
      <w:r w:rsidRPr="00DA23C5">
        <w:rPr>
          <w:rFonts w:ascii="Verdana" w:hAnsi="Verdana" w:cs="Arial"/>
          <w:bCs/>
          <w:sz w:val="18"/>
          <w:szCs w:val="18"/>
          <w:lang w:eastAsia="it-IT"/>
        </w:rPr>
        <w:t xml:space="preserve">Su indirizzo dei soci, nella seconda parte del 2021 Romagna Acque ha proceduto a simulare l’operazione di conferimento degli </w:t>
      </w:r>
      <w:proofErr w:type="spellStart"/>
      <w:r w:rsidRPr="00DA23C5">
        <w:rPr>
          <w:rFonts w:ascii="Verdana" w:hAnsi="Verdana" w:cs="Arial"/>
          <w:bCs/>
          <w:sz w:val="18"/>
          <w:szCs w:val="18"/>
          <w:lang w:eastAsia="it-IT"/>
        </w:rPr>
        <w:t>assets</w:t>
      </w:r>
      <w:proofErr w:type="spellEnd"/>
      <w:r w:rsidRPr="00DA23C5">
        <w:rPr>
          <w:rFonts w:ascii="Verdana" w:hAnsi="Verdana" w:cs="Arial"/>
          <w:bCs/>
          <w:sz w:val="18"/>
          <w:szCs w:val="18"/>
          <w:lang w:eastAsia="it-IT"/>
        </w:rPr>
        <w:t xml:space="preserve"> idrici da parte di tutte 5 le società patrimoniali della Romagna (Unica Reti, Ravenna Holding, Team, Amir, </w:t>
      </w:r>
      <w:proofErr w:type="spellStart"/>
      <w:r w:rsidRPr="00DA23C5">
        <w:rPr>
          <w:rFonts w:ascii="Verdana" w:hAnsi="Verdana" w:cs="Arial"/>
          <w:bCs/>
          <w:sz w:val="18"/>
          <w:szCs w:val="18"/>
          <w:lang w:eastAsia="it-IT"/>
        </w:rPr>
        <w:t>Sis</w:t>
      </w:r>
      <w:proofErr w:type="spellEnd"/>
      <w:r w:rsidRPr="00DA23C5">
        <w:rPr>
          <w:rFonts w:ascii="Verdana" w:hAnsi="Verdana" w:cs="Arial"/>
          <w:bCs/>
          <w:sz w:val="18"/>
          <w:szCs w:val="18"/>
          <w:lang w:eastAsia="it-IT"/>
        </w:rPr>
        <w:t>). In particolare:</w:t>
      </w:r>
    </w:p>
    <w:p w:rsidR="00446271" w:rsidRPr="00DA23C5" w:rsidRDefault="00446271" w:rsidP="00446271">
      <w:pPr>
        <w:pStyle w:val="Paragrafoelenco"/>
        <w:numPr>
          <w:ilvl w:val="0"/>
          <w:numId w:val="11"/>
        </w:numPr>
        <w:jc w:val="both"/>
        <w:rPr>
          <w:rFonts w:ascii="Verdana" w:hAnsi="Verdana" w:cs="Arial"/>
          <w:bCs/>
          <w:sz w:val="18"/>
          <w:szCs w:val="18"/>
          <w:lang w:eastAsia="it-IT"/>
        </w:rPr>
      </w:pPr>
      <w:proofErr w:type="gramStart"/>
      <w:r w:rsidRPr="00DA23C5">
        <w:rPr>
          <w:rFonts w:ascii="Verdana" w:hAnsi="Verdana" w:cs="Arial"/>
          <w:bCs/>
          <w:sz w:val="18"/>
          <w:szCs w:val="18"/>
          <w:lang w:eastAsia="it-IT"/>
        </w:rPr>
        <w:t>è</w:t>
      </w:r>
      <w:proofErr w:type="gramEnd"/>
      <w:r w:rsidRPr="00DA23C5">
        <w:rPr>
          <w:rFonts w:ascii="Verdana" w:hAnsi="Verdana" w:cs="Arial"/>
          <w:bCs/>
          <w:sz w:val="18"/>
          <w:szCs w:val="18"/>
          <w:lang w:eastAsia="it-IT"/>
        </w:rPr>
        <w:t xml:space="preserve"> stata individuata la possibile entità di aumento del capitale sociale;</w:t>
      </w:r>
    </w:p>
    <w:p w:rsidR="00446271" w:rsidRPr="00DA23C5" w:rsidRDefault="00446271" w:rsidP="00446271">
      <w:pPr>
        <w:pStyle w:val="Paragrafoelenco"/>
        <w:numPr>
          <w:ilvl w:val="0"/>
          <w:numId w:val="11"/>
        </w:numPr>
        <w:jc w:val="both"/>
        <w:rPr>
          <w:rFonts w:ascii="Verdana" w:hAnsi="Verdana" w:cs="Arial"/>
          <w:bCs/>
          <w:sz w:val="18"/>
          <w:szCs w:val="18"/>
          <w:lang w:eastAsia="it-IT"/>
        </w:rPr>
      </w:pPr>
      <w:proofErr w:type="gramStart"/>
      <w:r w:rsidRPr="00DA23C5">
        <w:rPr>
          <w:rFonts w:ascii="Verdana" w:hAnsi="Verdana" w:cs="Arial"/>
          <w:bCs/>
          <w:sz w:val="18"/>
          <w:szCs w:val="18"/>
          <w:lang w:eastAsia="it-IT"/>
        </w:rPr>
        <w:t>al</w:t>
      </w:r>
      <w:proofErr w:type="gramEnd"/>
      <w:r w:rsidRPr="00DA23C5">
        <w:rPr>
          <w:rFonts w:ascii="Verdana" w:hAnsi="Verdana" w:cs="Arial"/>
          <w:bCs/>
          <w:sz w:val="18"/>
          <w:szCs w:val="18"/>
          <w:lang w:eastAsia="it-IT"/>
        </w:rPr>
        <w:t xml:space="preserve"> fine di non alterare in materia di voto assembleare l’attuale compagine societaria, sono state individuate le principali caratteristiche dei titoli che </w:t>
      </w:r>
      <w:proofErr w:type="spellStart"/>
      <w:r w:rsidRPr="00DA23C5">
        <w:rPr>
          <w:rFonts w:ascii="Verdana" w:hAnsi="Verdana" w:cs="Arial"/>
          <w:bCs/>
          <w:sz w:val="18"/>
          <w:szCs w:val="18"/>
          <w:lang w:eastAsia="it-IT"/>
        </w:rPr>
        <w:t>RASdF</w:t>
      </w:r>
      <w:proofErr w:type="spellEnd"/>
      <w:r w:rsidRPr="00DA23C5">
        <w:rPr>
          <w:rFonts w:ascii="Verdana" w:hAnsi="Verdana" w:cs="Arial"/>
          <w:bCs/>
          <w:sz w:val="18"/>
          <w:szCs w:val="18"/>
          <w:lang w:eastAsia="it-IT"/>
        </w:rPr>
        <w:t xml:space="preserve"> dovrà emettere a fronte dell’aumento di capitale sociale suddetto;</w:t>
      </w:r>
    </w:p>
    <w:p w:rsidR="00AB506B" w:rsidRPr="00DA23C5" w:rsidRDefault="006F2A45" w:rsidP="00AB506B">
      <w:pPr>
        <w:jc w:val="both"/>
        <w:rPr>
          <w:rFonts w:ascii="Verdana" w:hAnsi="Verdana" w:cs="Arial"/>
          <w:b/>
          <w:sz w:val="18"/>
          <w:szCs w:val="18"/>
          <w:lang w:eastAsia="it-IT"/>
        </w:rPr>
      </w:pPr>
      <w:r w:rsidRPr="00DA23C5">
        <w:rPr>
          <w:rFonts w:ascii="Verdana" w:hAnsi="Verdana" w:cs="Arial"/>
          <w:bCs/>
          <w:sz w:val="18"/>
          <w:szCs w:val="18"/>
          <w:lang w:eastAsia="it-IT"/>
        </w:rPr>
        <w:t>L’attività di monitoraggio effettuata dalla società evidenzia che a</w:t>
      </w:r>
      <w:r w:rsidR="00583CF4" w:rsidRPr="00DA23C5">
        <w:rPr>
          <w:rFonts w:ascii="Verdana" w:hAnsi="Verdana" w:cs="Arial"/>
          <w:bCs/>
          <w:sz w:val="18"/>
          <w:szCs w:val="18"/>
          <w:lang w:eastAsia="it-IT"/>
        </w:rPr>
        <w:t xml:space="preserve"> fine novembre </w:t>
      </w:r>
      <w:r w:rsidRPr="00DA23C5">
        <w:rPr>
          <w:rFonts w:ascii="Verdana" w:hAnsi="Verdana" w:cs="Arial"/>
          <w:bCs/>
          <w:sz w:val="18"/>
          <w:szCs w:val="18"/>
          <w:lang w:eastAsia="it-IT"/>
        </w:rPr>
        <w:t xml:space="preserve">2022 </w:t>
      </w:r>
      <w:r w:rsidR="00583CF4" w:rsidRPr="00DA23C5">
        <w:rPr>
          <w:rFonts w:ascii="Verdana" w:hAnsi="Verdana" w:cs="Arial"/>
          <w:bCs/>
          <w:sz w:val="18"/>
          <w:szCs w:val="18"/>
          <w:lang w:eastAsia="it-IT"/>
        </w:rPr>
        <w:t>A</w:t>
      </w:r>
      <w:r w:rsidR="00446271" w:rsidRPr="00DA23C5">
        <w:rPr>
          <w:rFonts w:ascii="Verdana" w:hAnsi="Verdana" w:cs="Arial"/>
          <w:bCs/>
          <w:sz w:val="18"/>
          <w:szCs w:val="18"/>
          <w:lang w:eastAsia="it-IT"/>
        </w:rPr>
        <w:t xml:space="preserve">TERSIR </w:t>
      </w:r>
      <w:r w:rsidR="00583CF4" w:rsidRPr="00DA23C5">
        <w:rPr>
          <w:rFonts w:ascii="Verdana" w:hAnsi="Verdana" w:cs="Arial"/>
          <w:bCs/>
          <w:sz w:val="18"/>
          <w:szCs w:val="18"/>
          <w:lang w:eastAsia="it-IT"/>
        </w:rPr>
        <w:t xml:space="preserve">non ha ancora </w:t>
      </w:r>
      <w:r w:rsidRPr="00DA23C5">
        <w:rPr>
          <w:rFonts w:ascii="Verdana" w:hAnsi="Verdana" w:cs="Arial"/>
          <w:bCs/>
          <w:sz w:val="18"/>
          <w:szCs w:val="18"/>
          <w:lang w:eastAsia="it-IT"/>
        </w:rPr>
        <w:t>approvato le manovre tariffarie per il biennio</w:t>
      </w:r>
      <w:r w:rsidR="00446271" w:rsidRPr="00DA23C5">
        <w:rPr>
          <w:rFonts w:ascii="Verdana" w:hAnsi="Verdana" w:cs="Arial"/>
          <w:bCs/>
          <w:sz w:val="18"/>
          <w:szCs w:val="18"/>
          <w:lang w:eastAsia="it-IT"/>
        </w:rPr>
        <w:t xml:space="preserve"> 2022-2023 per</w:t>
      </w:r>
      <w:r w:rsidRPr="00DA23C5">
        <w:rPr>
          <w:rFonts w:ascii="Verdana" w:hAnsi="Verdana" w:cs="Arial"/>
          <w:bCs/>
          <w:sz w:val="18"/>
          <w:szCs w:val="18"/>
          <w:lang w:eastAsia="it-IT"/>
        </w:rPr>
        <w:t xml:space="preserve"> nessun bacino in cui opera HERA in Emilia Romagna (e quindi neppure per</w:t>
      </w:r>
      <w:r w:rsidR="00446271" w:rsidRPr="00DA23C5">
        <w:rPr>
          <w:rFonts w:ascii="Verdana" w:hAnsi="Verdana" w:cs="Arial"/>
          <w:bCs/>
          <w:sz w:val="18"/>
          <w:szCs w:val="18"/>
          <w:lang w:eastAsia="it-IT"/>
        </w:rPr>
        <w:t xml:space="preserve"> i bacini di Ravenna e Forlì-Cesena</w:t>
      </w:r>
      <w:r w:rsidRPr="00DA23C5">
        <w:rPr>
          <w:rFonts w:ascii="Verdana" w:hAnsi="Verdana" w:cs="Arial"/>
          <w:bCs/>
          <w:sz w:val="18"/>
          <w:szCs w:val="18"/>
          <w:lang w:eastAsia="it-IT"/>
        </w:rPr>
        <w:t>); tale circostanza non consente di verificare</w:t>
      </w:r>
      <w:r w:rsidR="00583CF4" w:rsidRPr="00DA23C5">
        <w:rPr>
          <w:rFonts w:ascii="Verdana" w:hAnsi="Verdana" w:cs="Arial"/>
          <w:bCs/>
          <w:sz w:val="18"/>
          <w:szCs w:val="18"/>
          <w:lang w:eastAsia="it-IT"/>
        </w:rPr>
        <w:t xml:space="preserve"> l’effettivo recepimento </w:t>
      </w:r>
      <w:r w:rsidRPr="00DA23C5">
        <w:rPr>
          <w:rFonts w:ascii="Verdana" w:hAnsi="Verdana" w:cs="Arial"/>
          <w:bCs/>
          <w:sz w:val="18"/>
          <w:szCs w:val="18"/>
          <w:lang w:eastAsia="it-IT"/>
        </w:rPr>
        <w:t xml:space="preserve">nelle tariffe </w:t>
      </w:r>
      <w:r w:rsidR="00583CF4" w:rsidRPr="00DA23C5">
        <w:rPr>
          <w:rFonts w:ascii="Verdana" w:hAnsi="Verdana" w:cs="Arial"/>
          <w:bCs/>
          <w:sz w:val="18"/>
          <w:szCs w:val="18"/>
          <w:lang w:eastAsia="it-IT"/>
        </w:rPr>
        <w:t xml:space="preserve">di quanto previsto nell’istanza </w:t>
      </w:r>
      <w:r w:rsidRPr="00DA23C5">
        <w:rPr>
          <w:rFonts w:ascii="Verdana" w:hAnsi="Verdana" w:cs="Arial"/>
          <w:bCs/>
          <w:sz w:val="18"/>
          <w:szCs w:val="18"/>
          <w:lang w:eastAsia="it-IT"/>
        </w:rPr>
        <w:t xml:space="preserve">per il biennio 2022-2023 </w:t>
      </w:r>
      <w:r w:rsidR="00583CF4" w:rsidRPr="00DA23C5">
        <w:rPr>
          <w:rFonts w:ascii="Verdana" w:hAnsi="Verdana" w:cs="Arial"/>
          <w:bCs/>
          <w:sz w:val="18"/>
          <w:szCs w:val="18"/>
          <w:lang w:eastAsia="it-IT"/>
        </w:rPr>
        <w:t xml:space="preserve">(in specifico </w:t>
      </w:r>
      <w:r w:rsidRPr="00DA23C5">
        <w:rPr>
          <w:rFonts w:ascii="Verdana" w:hAnsi="Verdana" w:cs="Arial"/>
          <w:bCs/>
          <w:sz w:val="18"/>
          <w:szCs w:val="18"/>
          <w:lang w:eastAsia="it-IT"/>
        </w:rPr>
        <w:t xml:space="preserve">non è verificabile </w:t>
      </w:r>
      <w:r w:rsidR="00583CF4" w:rsidRPr="00DA23C5">
        <w:rPr>
          <w:rFonts w:ascii="Verdana" w:hAnsi="Verdana" w:cs="Arial"/>
          <w:bCs/>
          <w:sz w:val="18"/>
          <w:szCs w:val="18"/>
          <w:lang w:eastAsia="it-IT"/>
        </w:rPr>
        <w:t>l’entità dei</w:t>
      </w:r>
      <w:r w:rsidR="00446271" w:rsidRPr="00DA23C5">
        <w:rPr>
          <w:rFonts w:ascii="Verdana" w:hAnsi="Verdana" w:cs="Arial"/>
          <w:bCs/>
          <w:sz w:val="18"/>
          <w:szCs w:val="18"/>
          <w:lang w:eastAsia="it-IT"/>
        </w:rPr>
        <w:t xml:space="preserve"> canoni riconosc</w:t>
      </w:r>
      <w:r w:rsidR="00D65B90" w:rsidRPr="00DA23C5">
        <w:rPr>
          <w:rFonts w:ascii="Verdana" w:hAnsi="Verdana" w:cs="Arial"/>
          <w:bCs/>
          <w:sz w:val="18"/>
          <w:szCs w:val="18"/>
          <w:lang w:eastAsia="it-IT"/>
        </w:rPr>
        <w:t>iuti</w:t>
      </w:r>
      <w:r w:rsidR="00446271" w:rsidRPr="00DA23C5">
        <w:rPr>
          <w:rFonts w:ascii="Verdana" w:hAnsi="Verdana" w:cs="Arial"/>
          <w:bCs/>
          <w:sz w:val="18"/>
          <w:szCs w:val="18"/>
          <w:lang w:eastAsia="it-IT"/>
        </w:rPr>
        <w:t xml:space="preserve"> alle società patrimoniali </w:t>
      </w:r>
      <w:r w:rsidR="00D65B90" w:rsidRPr="00DA23C5">
        <w:rPr>
          <w:rFonts w:ascii="Verdana" w:hAnsi="Verdana" w:cs="Arial"/>
          <w:bCs/>
          <w:sz w:val="18"/>
          <w:szCs w:val="18"/>
          <w:lang w:eastAsia="it-IT"/>
        </w:rPr>
        <w:t xml:space="preserve">per i beni oggetto di istanza nonché dei correlati investimenti </w:t>
      </w:r>
      <w:r w:rsidRPr="00DA23C5">
        <w:rPr>
          <w:rFonts w:ascii="Verdana" w:hAnsi="Verdana" w:cs="Arial"/>
          <w:bCs/>
          <w:sz w:val="18"/>
          <w:szCs w:val="18"/>
          <w:lang w:eastAsia="it-IT"/>
        </w:rPr>
        <w:t xml:space="preserve">che devono risultare </w:t>
      </w:r>
      <w:r w:rsidR="00D65B90" w:rsidRPr="00DA23C5">
        <w:rPr>
          <w:rFonts w:ascii="Verdana" w:hAnsi="Verdana" w:cs="Arial"/>
          <w:bCs/>
          <w:sz w:val="18"/>
          <w:szCs w:val="18"/>
          <w:lang w:eastAsia="it-IT"/>
        </w:rPr>
        <w:t>finanziati con tali risorse</w:t>
      </w:r>
      <w:r w:rsidRPr="00DA23C5">
        <w:rPr>
          <w:rFonts w:ascii="Verdana" w:hAnsi="Verdana" w:cs="Arial"/>
          <w:bCs/>
          <w:sz w:val="18"/>
          <w:szCs w:val="18"/>
          <w:lang w:eastAsia="it-IT"/>
        </w:rPr>
        <w:t>)</w:t>
      </w:r>
      <w:r w:rsidR="00446271" w:rsidRPr="00DA23C5">
        <w:rPr>
          <w:rFonts w:ascii="Verdana" w:hAnsi="Verdana" w:cs="Arial"/>
          <w:bCs/>
          <w:sz w:val="18"/>
          <w:szCs w:val="18"/>
          <w:lang w:eastAsia="it-IT"/>
        </w:rPr>
        <w:t>.</w:t>
      </w:r>
      <w:r w:rsidR="00AB506B" w:rsidRPr="00DA23C5">
        <w:rPr>
          <w:rFonts w:ascii="Verdana" w:hAnsi="Verdana" w:cs="Arial"/>
          <w:b/>
          <w:sz w:val="18"/>
          <w:szCs w:val="18"/>
          <w:lang w:eastAsia="it-IT"/>
        </w:rPr>
        <w:t xml:space="preserve"> % raggiungimento obiettivo: </w:t>
      </w:r>
      <w:r w:rsidRPr="00DA23C5">
        <w:rPr>
          <w:rFonts w:ascii="Verdana" w:hAnsi="Verdana" w:cs="Arial"/>
          <w:b/>
          <w:sz w:val="18"/>
          <w:szCs w:val="18"/>
          <w:lang w:eastAsia="it-IT"/>
        </w:rPr>
        <w:t>100%</w:t>
      </w:r>
    </w:p>
    <w:tbl>
      <w:tblPr>
        <w:tblW w:w="10100" w:type="dxa"/>
        <w:tblCellMar>
          <w:left w:w="70" w:type="dxa"/>
          <w:right w:w="70" w:type="dxa"/>
        </w:tblCellMar>
        <w:tblLook w:val="04A0" w:firstRow="1" w:lastRow="0" w:firstColumn="1" w:lastColumn="0" w:noHBand="0" w:noVBand="1"/>
      </w:tblPr>
      <w:tblGrid>
        <w:gridCol w:w="410"/>
        <w:gridCol w:w="3826"/>
        <w:gridCol w:w="4622"/>
        <w:gridCol w:w="1242"/>
      </w:tblGrid>
      <w:tr w:rsidR="00446271" w:rsidRPr="00DA23C5" w:rsidTr="00446271">
        <w:trPr>
          <w:trHeight w:val="333"/>
        </w:trPr>
        <w:tc>
          <w:tcPr>
            <w:tcW w:w="410" w:type="dxa"/>
            <w:tcBorders>
              <w:top w:val="nil"/>
              <w:left w:val="single" w:sz="4" w:space="0" w:color="auto"/>
              <w:bottom w:val="nil"/>
              <w:right w:val="nil"/>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 </w:t>
            </w:r>
          </w:p>
        </w:tc>
        <w:tc>
          <w:tcPr>
            <w:tcW w:w="84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6271" w:rsidRPr="00DA23C5" w:rsidRDefault="00446271" w:rsidP="00446271">
            <w:pPr>
              <w:jc w:val="center"/>
              <w:rPr>
                <w:rFonts w:ascii="Verdana" w:hAnsi="Verdana" w:cs="Arial"/>
                <w:b/>
                <w:bCs/>
                <w:sz w:val="18"/>
                <w:szCs w:val="18"/>
                <w:lang w:eastAsia="it-IT"/>
              </w:rPr>
            </w:pPr>
            <w:proofErr w:type="gramStart"/>
            <w:r w:rsidRPr="00DA23C5">
              <w:rPr>
                <w:rFonts w:ascii="Verdana" w:hAnsi="Verdana" w:cs="Arial"/>
                <w:b/>
                <w:bCs/>
                <w:sz w:val="18"/>
                <w:szCs w:val="18"/>
                <w:lang w:eastAsia="it-IT"/>
              </w:rPr>
              <w:t>obiettivo</w:t>
            </w:r>
            <w:proofErr w:type="gramEnd"/>
            <w:r w:rsidRPr="00DA23C5">
              <w:rPr>
                <w:rFonts w:ascii="Verdana" w:hAnsi="Verdana" w:cs="Arial"/>
                <w:b/>
                <w:bCs/>
                <w:sz w:val="18"/>
                <w:szCs w:val="18"/>
                <w:lang w:eastAsia="it-IT"/>
              </w:rPr>
              <w:t xml:space="preserve"> sul contenimento dei costi di funzionamento</w:t>
            </w:r>
          </w:p>
        </w:tc>
        <w:tc>
          <w:tcPr>
            <w:tcW w:w="1242" w:type="dxa"/>
            <w:tcBorders>
              <w:top w:val="nil"/>
              <w:left w:val="nil"/>
              <w:bottom w:val="nil"/>
              <w:right w:val="nil"/>
            </w:tcBorders>
            <w:shd w:val="clear" w:color="auto" w:fill="auto"/>
            <w:vAlign w:val="center"/>
            <w:hideMark/>
          </w:tcPr>
          <w:p w:rsidR="00446271" w:rsidRPr="00DA23C5" w:rsidRDefault="00446271" w:rsidP="00446271">
            <w:pPr>
              <w:jc w:val="center"/>
              <w:rPr>
                <w:rFonts w:ascii="Verdana" w:hAnsi="Verdana" w:cs="Arial"/>
                <w:b/>
                <w:bCs/>
                <w:sz w:val="18"/>
                <w:szCs w:val="18"/>
                <w:lang w:eastAsia="it-IT"/>
              </w:rPr>
            </w:pPr>
          </w:p>
        </w:tc>
      </w:tr>
      <w:tr w:rsidR="00446271" w:rsidRPr="00DA23C5" w:rsidTr="00DA23C5">
        <w:trPr>
          <w:trHeight w:val="269"/>
        </w:trPr>
        <w:tc>
          <w:tcPr>
            <w:tcW w:w="410" w:type="dxa"/>
            <w:tcBorders>
              <w:top w:val="single" w:sz="4" w:space="0" w:color="auto"/>
              <w:left w:val="single" w:sz="4" w:space="0" w:color="auto"/>
              <w:bottom w:val="nil"/>
              <w:right w:val="nil"/>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 </w:t>
            </w:r>
          </w:p>
        </w:tc>
        <w:tc>
          <w:tcPr>
            <w:tcW w:w="3826" w:type="dxa"/>
            <w:tcBorders>
              <w:top w:val="nil"/>
              <w:left w:val="single" w:sz="4" w:space="0" w:color="auto"/>
              <w:bottom w:val="nil"/>
              <w:right w:val="single" w:sz="4" w:space="0" w:color="auto"/>
            </w:tcBorders>
            <w:shd w:val="clear" w:color="auto" w:fill="auto"/>
            <w:vAlign w:val="center"/>
            <w:hideMark/>
          </w:tcPr>
          <w:p w:rsidR="00446271" w:rsidRPr="00DA23C5" w:rsidRDefault="00446271" w:rsidP="00446271">
            <w:pPr>
              <w:rPr>
                <w:rFonts w:ascii="Verdana" w:hAnsi="Verdana" w:cs="Arial"/>
                <w:b/>
                <w:bCs/>
                <w:sz w:val="18"/>
                <w:szCs w:val="18"/>
                <w:lang w:eastAsia="it-IT"/>
              </w:rPr>
            </w:pPr>
            <w:r w:rsidRPr="00DA23C5">
              <w:rPr>
                <w:rFonts w:ascii="Verdana" w:hAnsi="Verdana" w:cs="Arial"/>
                <w:b/>
                <w:bCs/>
                <w:sz w:val="18"/>
                <w:szCs w:val="18"/>
                <w:lang w:eastAsia="it-IT"/>
              </w:rPr>
              <w:t> </w:t>
            </w:r>
          </w:p>
        </w:tc>
        <w:tc>
          <w:tcPr>
            <w:tcW w:w="4622" w:type="dxa"/>
            <w:vMerge w:val="restart"/>
            <w:tcBorders>
              <w:top w:val="nil"/>
              <w:left w:val="nil"/>
              <w:bottom w:val="single" w:sz="4" w:space="0" w:color="000000"/>
              <w:right w:val="single" w:sz="4" w:space="0" w:color="auto"/>
            </w:tcBorders>
            <w:shd w:val="clear" w:color="auto" w:fill="auto"/>
            <w:vAlign w:val="center"/>
            <w:hideMark/>
          </w:tcPr>
          <w:p w:rsidR="00446271" w:rsidRPr="00DA23C5" w:rsidRDefault="00446271" w:rsidP="00446271">
            <w:pPr>
              <w:jc w:val="center"/>
              <w:rPr>
                <w:rFonts w:ascii="Verdana" w:hAnsi="Verdana" w:cs="Arial"/>
                <w:b/>
                <w:bCs/>
                <w:sz w:val="18"/>
                <w:szCs w:val="18"/>
                <w:lang w:eastAsia="it-IT"/>
              </w:rPr>
            </w:pPr>
            <w:r w:rsidRPr="00DA23C5">
              <w:rPr>
                <w:rFonts w:ascii="Verdana" w:hAnsi="Verdana" w:cs="Arial"/>
                <w:b/>
                <w:bCs/>
                <w:sz w:val="18"/>
                <w:szCs w:val="18"/>
                <w:lang w:eastAsia="it-IT"/>
              </w:rPr>
              <w:t>AZIONI</w:t>
            </w:r>
          </w:p>
        </w:tc>
        <w:tc>
          <w:tcPr>
            <w:tcW w:w="1242" w:type="dxa"/>
            <w:tcBorders>
              <w:top w:val="nil"/>
              <w:left w:val="nil"/>
              <w:bottom w:val="nil"/>
              <w:right w:val="nil"/>
            </w:tcBorders>
            <w:shd w:val="clear" w:color="auto" w:fill="auto"/>
            <w:vAlign w:val="center"/>
            <w:hideMark/>
          </w:tcPr>
          <w:p w:rsidR="00446271" w:rsidRPr="00DA23C5" w:rsidRDefault="00446271" w:rsidP="00446271">
            <w:pPr>
              <w:jc w:val="center"/>
              <w:rPr>
                <w:rFonts w:ascii="Verdana" w:hAnsi="Verdana" w:cs="Arial"/>
                <w:b/>
                <w:bCs/>
                <w:sz w:val="18"/>
                <w:szCs w:val="18"/>
                <w:lang w:eastAsia="it-IT"/>
              </w:rPr>
            </w:pPr>
          </w:p>
        </w:tc>
      </w:tr>
      <w:tr w:rsidR="00446271" w:rsidRPr="00DA23C5" w:rsidTr="00DA23C5">
        <w:trPr>
          <w:trHeight w:val="269"/>
        </w:trPr>
        <w:tc>
          <w:tcPr>
            <w:tcW w:w="410" w:type="dxa"/>
            <w:tcBorders>
              <w:top w:val="nil"/>
              <w:left w:val="single" w:sz="4" w:space="0" w:color="auto"/>
              <w:bottom w:val="single" w:sz="4" w:space="0" w:color="auto"/>
              <w:right w:val="nil"/>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 </w:t>
            </w:r>
          </w:p>
        </w:tc>
        <w:tc>
          <w:tcPr>
            <w:tcW w:w="3826"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rPr>
                <w:rFonts w:ascii="Verdana" w:hAnsi="Verdana" w:cs="Arial"/>
                <w:b/>
                <w:bCs/>
                <w:sz w:val="18"/>
                <w:szCs w:val="18"/>
                <w:lang w:eastAsia="it-IT"/>
              </w:rPr>
            </w:pPr>
            <w:r w:rsidRPr="00DA23C5">
              <w:rPr>
                <w:rFonts w:ascii="Verdana" w:hAnsi="Verdana" w:cs="Arial"/>
                <w:b/>
                <w:bCs/>
                <w:sz w:val="18"/>
                <w:szCs w:val="18"/>
                <w:lang w:eastAsia="it-IT"/>
              </w:rPr>
              <w:t xml:space="preserve">OBIETTIVO </w:t>
            </w:r>
          </w:p>
        </w:tc>
        <w:tc>
          <w:tcPr>
            <w:tcW w:w="4622" w:type="dxa"/>
            <w:vMerge/>
            <w:tcBorders>
              <w:top w:val="nil"/>
              <w:left w:val="nil"/>
              <w:bottom w:val="single" w:sz="4" w:space="0" w:color="000000"/>
              <w:right w:val="single" w:sz="4" w:space="0" w:color="auto"/>
            </w:tcBorders>
            <w:vAlign w:val="center"/>
            <w:hideMark/>
          </w:tcPr>
          <w:p w:rsidR="00446271" w:rsidRPr="00DA23C5" w:rsidRDefault="00446271" w:rsidP="00446271">
            <w:pPr>
              <w:rPr>
                <w:rFonts w:ascii="Verdana" w:hAnsi="Verdana" w:cs="Arial"/>
                <w:b/>
                <w:bCs/>
                <w:sz w:val="18"/>
                <w:szCs w:val="18"/>
                <w:lang w:eastAsia="it-IT"/>
              </w:rPr>
            </w:pPr>
          </w:p>
        </w:tc>
        <w:tc>
          <w:tcPr>
            <w:tcW w:w="1242" w:type="dxa"/>
            <w:tcBorders>
              <w:top w:val="nil"/>
              <w:left w:val="nil"/>
              <w:bottom w:val="nil"/>
              <w:right w:val="nil"/>
            </w:tcBorders>
            <w:shd w:val="clear" w:color="auto" w:fill="auto"/>
            <w:vAlign w:val="center"/>
            <w:hideMark/>
          </w:tcPr>
          <w:p w:rsidR="00446271" w:rsidRPr="00DA23C5" w:rsidRDefault="00446271" w:rsidP="00446271">
            <w:pPr>
              <w:rPr>
                <w:rFonts w:ascii="Verdana" w:hAnsi="Verdana" w:cs="Arial"/>
                <w:b/>
                <w:bCs/>
                <w:sz w:val="18"/>
                <w:szCs w:val="18"/>
                <w:lang w:eastAsia="it-IT"/>
              </w:rPr>
            </w:pPr>
          </w:p>
        </w:tc>
      </w:tr>
      <w:tr w:rsidR="00446271" w:rsidRPr="00DA23C5" w:rsidTr="00DA23C5">
        <w:trPr>
          <w:trHeight w:val="692"/>
        </w:trPr>
        <w:tc>
          <w:tcPr>
            <w:tcW w:w="410" w:type="dxa"/>
            <w:tcBorders>
              <w:top w:val="nil"/>
              <w:left w:val="single" w:sz="4" w:space="0" w:color="auto"/>
              <w:bottom w:val="single" w:sz="4" w:space="0" w:color="auto"/>
              <w:right w:val="nil"/>
            </w:tcBorders>
            <w:shd w:val="clear" w:color="auto" w:fill="auto"/>
            <w:vAlign w:val="center"/>
            <w:hideMark/>
          </w:tcPr>
          <w:p w:rsidR="00446271" w:rsidRPr="00DA23C5" w:rsidRDefault="00446271" w:rsidP="00446271">
            <w:pPr>
              <w:jc w:val="center"/>
              <w:rPr>
                <w:rFonts w:ascii="Verdana" w:hAnsi="Verdana" w:cs="Arial"/>
                <w:sz w:val="18"/>
                <w:szCs w:val="18"/>
                <w:lang w:eastAsia="it-IT"/>
              </w:rPr>
            </w:pPr>
            <w:r w:rsidRPr="00DA23C5">
              <w:rPr>
                <w:rFonts w:ascii="Verdana" w:hAnsi="Verdana" w:cs="Arial"/>
                <w:sz w:val="18"/>
                <w:szCs w:val="18"/>
                <w:lang w:eastAsia="it-IT"/>
              </w:rPr>
              <w:t>1</w:t>
            </w:r>
          </w:p>
        </w:tc>
        <w:tc>
          <w:tcPr>
            <w:tcW w:w="3826" w:type="dxa"/>
            <w:tcBorders>
              <w:top w:val="nil"/>
              <w:left w:val="single" w:sz="4" w:space="0" w:color="auto"/>
              <w:bottom w:val="single" w:sz="4" w:space="0" w:color="auto"/>
              <w:right w:val="single" w:sz="4" w:space="0" w:color="auto"/>
            </w:tcBorders>
            <w:shd w:val="clear" w:color="auto" w:fill="auto"/>
            <w:hideMark/>
          </w:tcPr>
          <w:p w:rsidR="00446271" w:rsidRPr="00DA23C5" w:rsidRDefault="00446271" w:rsidP="00446271">
            <w:pPr>
              <w:jc w:val="both"/>
              <w:rPr>
                <w:rFonts w:ascii="Verdana" w:hAnsi="Verdana" w:cs="Arial"/>
                <w:bCs/>
                <w:sz w:val="18"/>
                <w:szCs w:val="18"/>
                <w:lang w:eastAsia="it-IT"/>
              </w:rPr>
            </w:pPr>
            <w:r w:rsidRPr="00DA23C5">
              <w:rPr>
                <w:rFonts w:ascii="Verdana" w:hAnsi="Verdana" w:cs="Arial"/>
                <w:bCs/>
                <w:sz w:val="18"/>
                <w:szCs w:val="18"/>
                <w:lang w:eastAsia="it-IT"/>
              </w:rPr>
              <w:t>MTI-</w:t>
            </w:r>
            <w:proofErr w:type="gramStart"/>
            <w:r w:rsidRPr="00DA23C5">
              <w:rPr>
                <w:rFonts w:ascii="Verdana" w:hAnsi="Verdana" w:cs="Arial"/>
                <w:bCs/>
                <w:sz w:val="18"/>
                <w:szCs w:val="18"/>
                <w:lang w:eastAsia="it-IT"/>
              </w:rPr>
              <w:t>3:costi</w:t>
            </w:r>
            <w:proofErr w:type="gramEnd"/>
            <w:r w:rsidRPr="00DA23C5">
              <w:rPr>
                <w:rFonts w:ascii="Verdana" w:hAnsi="Verdana" w:cs="Arial"/>
                <w:bCs/>
                <w:sz w:val="18"/>
                <w:szCs w:val="18"/>
                <w:lang w:eastAsia="it-IT"/>
              </w:rPr>
              <w:t xml:space="preserve"> </w:t>
            </w:r>
            <w:proofErr w:type="spellStart"/>
            <w:r w:rsidRPr="00DA23C5">
              <w:rPr>
                <w:rFonts w:ascii="Verdana" w:hAnsi="Verdana" w:cs="Arial"/>
                <w:bCs/>
                <w:sz w:val="18"/>
                <w:szCs w:val="18"/>
                <w:lang w:eastAsia="it-IT"/>
              </w:rPr>
              <w:t>efficentabili</w:t>
            </w:r>
            <w:proofErr w:type="spellEnd"/>
            <w:r w:rsidRPr="00DA23C5">
              <w:rPr>
                <w:rFonts w:ascii="Verdana" w:hAnsi="Verdana" w:cs="Arial"/>
                <w:bCs/>
                <w:sz w:val="18"/>
                <w:szCs w:val="18"/>
                <w:lang w:eastAsia="it-IT"/>
              </w:rPr>
              <w:t>: riduzione del gap fra costi riconosciuti e costi consuntivati. Definizione di un piano strategico</w:t>
            </w:r>
          </w:p>
        </w:tc>
        <w:tc>
          <w:tcPr>
            <w:tcW w:w="4622" w:type="dxa"/>
            <w:tcBorders>
              <w:top w:val="nil"/>
              <w:left w:val="nil"/>
              <w:bottom w:val="single" w:sz="4" w:space="0" w:color="auto"/>
              <w:right w:val="single" w:sz="4" w:space="0" w:color="auto"/>
            </w:tcBorders>
            <w:shd w:val="clear" w:color="auto" w:fill="auto"/>
            <w:vAlign w:val="center"/>
            <w:hideMark/>
          </w:tcPr>
          <w:p w:rsidR="00446271" w:rsidRPr="00DA23C5" w:rsidRDefault="00446271" w:rsidP="00446271">
            <w:pPr>
              <w:rPr>
                <w:rFonts w:ascii="Verdana" w:hAnsi="Verdana" w:cs="Arial"/>
                <w:sz w:val="18"/>
                <w:szCs w:val="18"/>
                <w:lang w:eastAsia="it-IT"/>
              </w:rPr>
            </w:pPr>
            <w:r w:rsidRPr="00DA23C5">
              <w:rPr>
                <w:rFonts w:ascii="Verdana" w:hAnsi="Verdana" w:cs="Arial"/>
                <w:sz w:val="18"/>
                <w:szCs w:val="18"/>
                <w:lang w:eastAsia="it-IT"/>
              </w:rPr>
              <w:t xml:space="preserve">Piano di </w:t>
            </w:r>
            <w:proofErr w:type="spellStart"/>
            <w:r w:rsidRPr="00DA23C5">
              <w:rPr>
                <w:rFonts w:ascii="Verdana" w:hAnsi="Verdana" w:cs="Arial"/>
                <w:sz w:val="18"/>
                <w:szCs w:val="18"/>
                <w:lang w:eastAsia="it-IT"/>
              </w:rPr>
              <w:t>efficentamento</w:t>
            </w:r>
            <w:proofErr w:type="spellEnd"/>
            <w:r w:rsidRPr="00DA23C5">
              <w:rPr>
                <w:rFonts w:ascii="Verdana" w:hAnsi="Verdana" w:cs="Arial"/>
                <w:sz w:val="18"/>
                <w:szCs w:val="18"/>
                <w:lang w:eastAsia="it-IT"/>
              </w:rPr>
              <w:t xml:space="preserve"> delle spese con natura di rappresentanza e liberalità rispetto al costo consuntivato nel </w:t>
            </w:r>
            <w:proofErr w:type="gramStart"/>
            <w:r w:rsidRPr="00DA23C5">
              <w:rPr>
                <w:rFonts w:ascii="Verdana" w:hAnsi="Verdana" w:cs="Arial"/>
                <w:sz w:val="18"/>
                <w:szCs w:val="18"/>
                <w:lang w:eastAsia="it-IT"/>
              </w:rPr>
              <w:t>2020  di</w:t>
            </w:r>
            <w:proofErr w:type="gramEnd"/>
            <w:r w:rsidRPr="00DA23C5">
              <w:rPr>
                <w:rFonts w:ascii="Verdana" w:hAnsi="Verdana" w:cs="Arial"/>
                <w:sz w:val="18"/>
                <w:szCs w:val="18"/>
                <w:lang w:eastAsia="it-IT"/>
              </w:rPr>
              <w:t xml:space="preserve"> 1.312 K/euro</w:t>
            </w:r>
          </w:p>
        </w:tc>
        <w:tc>
          <w:tcPr>
            <w:tcW w:w="1242" w:type="dxa"/>
            <w:tcBorders>
              <w:top w:val="nil"/>
              <w:left w:val="nil"/>
              <w:bottom w:val="nil"/>
              <w:right w:val="nil"/>
            </w:tcBorders>
            <w:shd w:val="clear" w:color="auto" w:fill="auto"/>
            <w:vAlign w:val="center"/>
            <w:hideMark/>
          </w:tcPr>
          <w:p w:rsidR="00446271" w:rsidRPr="00DA23C5" w:rsidRDefault="00446271" w:rsidP="00446271">
            <w:pPr>
              <w:rPr>
                <w:rFonts w:ascii="Verdana" w:hAnsi="Verdana" w:cs="Arial"/>
                <w:sz w:val="18"/>
                <w:szCs w:val="18"/>
                <w:lang w:eastAsia="it-IT"/>
              </w:rPr>
            </w:pPr>
          </w:p>
        </w:tc>
      </w:tr>
      <w:tr w:rsidR="00446271" w:rsidRPr="00DA23C5" w:rsidTr="00DA23C5">
        <w:trPr>
          <w:trHeight w:val="269"/>
        </w:trPr>
        <w:tc>
          <w:tcPr>
            <w:tcW w:w="410" w:type="dxa"/>
            <w:tcBorders>
              <w:top w:val="nil"/>
              <w:left w:val="nil"/>
              <w:bottom w:val="nil"/>
              <w:right w:val="nil"/>
            </w:tcBorders>
            <w:shd w:val="clear" w:color="auto" w:fill="auto"/>
            <w:vAlign w:val="center"/>
            <w:hideMark/>
          </w:tcPr>
          <w:p w:rsidR="00446271" w:rsidRPr="00DA23C5" w:rsidRDefault="00446271" w:rsidP="00446271">
            <w:pPr>
              <w:jc w:val="right"/>
              <w:rPr>
                <w:rFonts w:ascii="Verdana" w:hAnsi="Verdana"/>
                <w:sz w:val="18"/>
                <w:szCs w:val="18"/>
                <w:lang w:eastAsia="it-IT"/>
              </w:rPr>
            </w:pPr>
          </w:p>
        </w:tc>
        <w:tc>
          <w:tcPr>
            <w:tcW w:w="3826" w:type="dxa"/>
            <w:tcBorders>
              <w:top w:val="nil"/>
              <w:left w:val="nil"/>
              <w:bottom w:val="nil"/>
              <w:right w:val="nil"/>
            </w:tcBorders>
            <w:shd w:val="clear" w:color="auto" w:fill="auto"/>
            <w:vAlign w:val="center"/>
            <w:hideMark/>
          </w:tcPr>
          <w:p w:rsidR="00446271" w:rsidRPr="00DA23C5" w:rsidRDefault="00446271" w:rsidP="00446271">
            <w:pPr>
              <w:jc w:val="center"/>
              <w:rPr>
                <w:rFonts w:ascii="Verdana" w:hAnsi="Verdana"/>
                <w:sz w:val="18"/>
                <w:szCs w:val="18"/>
                <w:lang w:eastAsia="it-IT"/>
              </w:rPr>
            </w:pPr>
          </w:p>
        </w:tc>
        <w:tc>
          <w:tcPr>
            <w:tcW w:w="4622"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rPr>
                <w:rFonts w:ascii="Verdana" w:hAnsi="Verdana" w:cs="Arial"/>
                <w:sz w:val="18"/>
                <w:szCs w:val="18"/>
                <w:lang w:eastAsia="it-IT"/>
              </w:rPr>
            </w:pPr>
            <w:proofErr w:type="gramStart"/>
            <w:r w:rsidRPr="00DA23C5">
              <w:rPr>
                <w:rFonts w:ascii="Verdana" w:hAnsi="Verdana" w:cs="Arial"/>
                <w:sz w:val="18"/>
                <w:szCs w:val="18"/>
                <w:lang w:eastAsia="it-IT"/>
              </w:rPr>
              <w:t>anno</w:t>
            </w:r>
            <w:proofErr w:type="gramEnd"/>
            <w:r w:rsidRPr="00DA23C5">
              <w:rPr>
                <w:rFonts w:ascii="Verdana" w:hAnsi="Verdana" w:cs="Arial"/>
                <w:sz w:val="18"/>
                <w:szCs w:val="18"/>
                <w:lang w:eastAsia="it-IT"/>
              </w:rPr>
              <w:t xml:space="preserve"> 2022: </w:t>
            </w:r>
            <w:proofErr w:type="spellStart"/>
            <w:r w:rsidRPr="00DA23C5">
              <w:rPr>
                <w:rFonts w:ascii="Verdana" w:hAnsi="Verdana" w:cs="Arial"/>
                <w:sz w:val="18"/>
                <w:szCs w:val="18"/>
                <w:lang w:eastAsia="it-IT"/>
              </w:rPr>
              <w:t>efficentamento</w:t>
            </w:r>
            <w:proofErr w:type="spellEnd"/>
            <w:r w:rsidRPr="00DA23C5">
              <w:rPr>
                <w:rFonts w:ascii="Verdana" w:hAnsi="Verdana" w:cs="Arial"/>
                <w:sz w:val="18"/>
                <w:szCs w:val="18"/>
                <w:lang w:eastAsia="it-IT"/>
              </w:rPr>
              <w:t xml:space="preserve"> del 15%-&gt; 1.115 </w:t>
            </w:r>
            <w:proofErr w:type="spellStart"/>
            <w:r w:rsidRPr="00DA23C5">
              <w:rPr>
                <w:rFonts w:ascii="Verdana" w:hAnsi="Verdana" w:cs="Arial"/>
                <w:sz w:val="18"/>
                <w:szCs w:val="18"/>
                <w:lang w:eastAsia="it-IT"/>
              </w:rPr>
              <w:t>Keuro</w:t>
            </w:r>
            <w:proofErr w:type="spellEnd"/>
          </w:p>
        </w:tc>
        <w:tc>
          <w:tcPr>
            <w:tcW w:w="1242" w:type="dxa"/>
            <w:tcBorders>
              <w:top w:val="nil"/>
              <w:left w:val="nil"/>
              <w:bottom w:val="nil"/>
              <w:right w:val="nil"/>
            </w:tcBorders>
            <w:shd w:val="clear" w:color="auto" w:fill="auto"/>
            <w:vAlign w:val="center"/>
            <w:hideMark/>
          </w:tcPr>
          <w:p w:rsidR="00446271" w:rsidRPr="00DA23C5" w:rsidRDefault="00446271" w:rsidP="00446271">
            <w:pPr>
              <w:rPr>
                <w:rFonts w:ascii="Verdana" w:hAnsi="Verdana" w:cs="Arial"/>
                <w:sz w:val="18"/>
                <w:szCs w:val="18"/>
                <w:lang w:eastAsia="it-IT"/>
              </w:rPr>
            </w:pPr>
          </w:p>
        </w:tc>
      </w:tr>
      <w:tr w:rsidR="00446271" w:rsidRPr="00DA23C5" w:rsidTr="00DA23C5">
        <w:trPr>
          <w:trHeight w:val="269"/>
        </w:trPr>
        <w:tc>
          <w:tcPr>
            <w:tcW w:w="410" w:type="dxa"/>
            <w:tcBorders>
              <w:top w:val="nil"/>
              <w:left w:val="nil"/>
              <w:bottom w:val="nil"/>
              <w:right w:val="nil"/>
            </w:tcBorders>
            <w:shd w:val="clear" w:color="auto" w:fill="auto"/>
            <w:vAlign w:val="center"/>
            <w:hideMark/>
          </w:tcPr>
          <w:p w:rsidR="00446271" w:rsidRPr="00DA23C5" w:rsidRDefault="00446271" w:rsidP="00446271">
            <w:pPr>
              <w:jc w:val="right"/>
              <w:rPr>
                <w:rFonts w:ascii="Verdana" w:hAnsi="Verdana"/>
                <w:sz w:val="18"/>
                <w:szCs w:val="18"/>
                <w:lang w:eastAsia="it-IT"/>
              </w:rPr>
            </w:pPr>
          </w:p>
        </w:tc>
        <w:tc>
          <w:tcPr>
            <w:tcW w:w="3826" w:type="dxa"/>
            <w:tcBorders>
              <w:top w:val="nil"/>
              <w:left w:val="nil"/>
              <w:bottom w:val="nil"/>
              <w:right w:val="nil"/>
            </w:tcBorders>
            <w:shd w:val="clear" w:color="auto" w:fill="auto"/>
            <w:vAlign w:val="center"/>
            <w:hideMark/>
          </w:tcPr>
          <w:p w:rsidR="00446271" w:rsidRPr="00DA23C5" w:rsidRDefault="00446271" w:rsidP="00446271">
            <w:pPr>
              <w:jc w:val="center"/>
              <w:rPr>
                <w:rFonts w:ascii="Verdana" w:hAnsi="Verdana"/>
                <w:sz w:val="18"/>
                <w:szCs w:val="18"/>
                <w:lang w:eastAsia="it-IT"/>
              </w:rPr>
            </w:pPr>
          </w:p>
        </w:tc>
        <w:tc>
          <w:tcPr>
            <w:tcW w:w="4622" w:type="dxa"/>
            <w:tcBorders>
              <w:top w:val="nil"/>
              <w:left w:val="single" w:sz="4" w:space="0" w:color="auto"/>
              <w:bottom w:val="single" w:sz="4" w:space="0" w:color="auto"/>
              <w:right w:val="single" w:sz="4" w:space="0" w:color="auto"/>
            </w:tcBorders>
            <w:shd w:val="clear" w:color="auto" w:fill="auto"/>
            <w:vAlign w:val="center"/>
            <w:hideMark/>
          </w:tcPr>
          <w:p w:rsidR="00446271" w:rsidRPr="00DA23C5" w:rsidRDefault="00446271" w:rsidP="00446271">
            <w:pPr>
              <w:rPr>
                <w:rFonts w:ascii="Verdana" w:hAnsi="Verdana" w:cs="Arial"/>
                <w:sz w:val="18"/>
                <w:szCs w:val="18"/>
                <w:lang w:eastAsia="it-IT"/>
              </w:rPr>
            </w:pPr>
            <w:proofErr w:type="gramStart"/>
            <w:r w:rsidRPr="00DA23C5">
              <w:rPr>
                <w:rFonts w:ascii="Verdana" w:hAnsi="Verdana" w:cs="Arial"/>
                <w:sz w:val="18"/>
                <w:szCs w:val="18"/>
                <w:lang w:eastAsia="it-IT"/>
              </w:rPr>
              <w:t>anno</w:t>
            </w:r>
            <w:proofErr w:type="gramEnd"/>
            <w:r w:rsidRPr="00DA23C5">
              <w:rPr>
                <w:rFonts w:ascii="Verdana" w:hAnsi="Verdana" w:cs="Arial"/>
                <w:sz w:val="18"/>
                <w:szCs w:val="18"/>
                <w:lang w:eastAsia="it-IT"/>
              </w:rPr>
              <w:t xml:space="preserve"> 2023: </w:t>
            </w:r>
            <w:proofErr w:type="spellStart"/>
            <w:r w:rsidRPr="00DA23C5">
              <w:rPr>
                <w:rFonts w:ascii="Verdana" w:hAnsi="Verdana" w:cs="Arial"/>
                <w:sz w:val="18"/>
                <w:szCs w:val="18"/>
                <w:lang w:eastAsia="it-IT"/>
              </w:rPr>
              <w:t>efficentamento</w:t>
            </w:r>
            <w:proofErr w:type="spellEnd"/>
            <w:r w:rsidRPr="00DA23C5">
              <w:rPr>
                <w:rFonts w:ascii="Verdana" w:hAnsi="Verdana" w:cs="Arial"/>
                <w:sz w:val="18"/>
                <w:szCs w:val="18"/>
                <w:lang w:eastAsia="it-IT"/>
              </w:rPr>
              <w:t xml:space="preserve"> del 25%-&gt; 984 </w:t>
            </w:r>
            <w:proofErr w:type="spellStart"/>
            <w:r w:rsidRPr="00DA23C5">
              <w:rPr>
                <w:rFonts w:ascii="Verdana" w:hAnsi="Verdana" w:cs="Arial"/>
                <w:sz w:val="18"/>
                <w:szCs w:val="18"/>
                <w:lang w:eastAsia="it-IT"/>
              </w:rPr>
              <w:t>Keuro</w:t>
            </w:r>
            <w:proofErr w:type="spellEnd"/>
          </w:p>
        </w:tc>
        <w:tc>
          <w:tcPr>
            <w:tcW w:w="1242" w:type="dxa"/>
            <w:tcBorders>
              <w:top w:val="nil"/>
              <w:left w:val="nil"/>
              <w:bottom w:val="nil"/>
              <w:right w:val="nil"/>
            </w:tcBorders>
            <w:shd w:val="clear" w:color="auto" w:fill="auto"/>
            <w:vAlign w:val="center"/>
            <w:hideMark/>
          </w:tcPr>
          <w:p w:rsidR="00446271" w:rsidRPr="00DA23C5" w:rsidRDefault="00446271" w:rsidP="00446271">
            <w:pPr>
              <w:rPr>
                <w:rFonts w:ascii="Verdana" w:hAnsi="Verdana" w:cs="Arial"/>
                <w:sz w:val="18"/>
                <w:szCs w:val="18"/>
                <w:lang w:eastAsia="it-IT"/>
              </w:rPr>
            </w:pPr>
          </w:p>
        </w:tc>
      </w:tr>
    </w:tbl>
    <w:p w:rsidR="00AB506B" w:rsidRPr="00DA23C5" w:rsidRDefault="00446271" w:rsidP="00AB506B">
      <w:pPr>
        <w:jc w:val="both"/>
        <w:rPr>
          <w:rFonts w:ascii="Verdana" w:hAnsi="Verdana" w:cs="Arial"/>
          <w:b/>
          <w:sz w:val="18"/>
          <w:szCs w:val="18"/>
          <w:lang w:eastAsia="it-IT"/>
        </w:rPr>
      </w:pPr>
      <w:r w:rsidRPr="00DA23C5">
        <w:rPr>
          <w:rFonts w:ascii="Verdana" w:hAnsi="Verdana"/>
          <w:sz w:val="18"/>
          <w:szCs w:val="18"/>
        </w:rPr>
        <w:t>In base ai dati e alle informazioni disponibili nulla osta al raggiungimento dell’obiettivo fissato per l’anno 2022.</w:t>
      </w:r>
      <w:r w:rsidR="00AB506B" w:rsidRPr="00DA23C5">
        <w:rPr>
          <w:rFonts w:ascii="Verdana" w:hAnsi="Verdana"/>
          <w:sz w:val="18"/>
          <w:szCs w:val="18"/>
        </w:rPr>
        <w:t xml:space="preserve"> </w:t>
      </w:r>
      <w:r w:rsidR="00AB506B" w:rsidRPr="00DA23C5">
        <w:rPr>
          <w:rFonts w:ascii="Verdana" w:hAnsi="Verdana" w:cs="Arial"/>
          <w:b/>
          <w:sz w:val="18"/>
          <w:szCs w:val="18"/>
          <w:lang w:eastAsia="it-IT"/>
        </w:rPr>
        <w:t>% raggiungimento obiettivo: 100%</w:t>
      </w:r>
    </w:p>
    <w:p w:rsidR="004F1374" w:rsidRPr="00DA23C5" w:rsidRDefault="00C73724" w:rsidP="00071495">
      <w:pPr>
        <w:tabs>
          <w:tab w:val="left" w:pos="851"/>
        </w:tabs>
        <w:jc w:val="both"/>
        <w:rPr>
          <w:rFonts w:ascii="Verdana" w:hAnsi="Verdana"/>
          <w:b/>
          <w:snapToGrid w:val="0"/>
          <w:sz w:val="18"/>
          <w:szCs w:val="18"/>
        </w:rPr>
      </w:pPr>
      <w:r w:rsidRPr="00DA23C5">
        <w:rPr>
          <w:rFonts w:ascii="Verdana" w:hAnsi="Verdana"/>
          <w:b/>
          <w:snapToGrid w:val="0"/>
          <w:sz w:val="18"/>
          <w:szCs w:val="18"/>
        </w:rPr>
        <w:t>7) Obiettivi assegnati per l’anno 202</w:t>
      </w:r>
      <w:r w:rsidR="00446271" w:rsidRPr="00DA23C5">
        <w:rPr>
          <w:rFonts w:ascii="Verdana" w:hAnsi="Verdana"/>
          <w:b/>
          <w:snapToGrid w:val="0"/>
          <w:sz w:val="18"/>
          <w:szCs w:val="18"/>
        </w:rPr>
        <w:t xml:space="preserve">3 </w:t>
      </w:r>
    </w:p>
    <w:p w:rsidR="00CB5E11" w:rsidRPr="00DA23C5" w:rsidRDefault="00DF7732" w:rsidP="00071495">
      <w:pPr>
        <w:tabs>
          <w:tab w:val="left" w:pos="851"/>
        </w:tabs>
        <w:jc w:val="both"/>
        <w:rPr>
          <w:rFonts w:ascii="Verdana" w:hAnsi="Verdana"/>
          <w:snapToGrid w:val="0"/>
          <w:sz w:val="18"/>
          <w:szCs w:val="18"/>
        </w:rPr>
      </w:pPr>
      <w:r w:rsidRPr="00DA23C5">
        <w:rPr>
          <w:rFonts w:ascii="Verdana" w:hAnsi="Verdana"/>
          <w:snapToGrid w:val="0"/>
          <w:sz w:val="18"/>
          <w:szCs w:val="18"/>
        </w:rPr>
        <w:t>Il Coordinamento Soci nella seduta del 26 ottobre 2022</w:t>
      </w:r>
      <w:r w:rsidR="00FB5AD7" w:rsidRPr="00DA23C5">
        <w:rPr>
          <w:rFonts w:ascii="Verdana" w:hAnsi="Verdana"/>
          <w:snapToGrid w:val="0"/>
          <w:sz w:val="18"/>
          <w:szCs w:val="18"/>
        </w:rPr>
        <w:t xml:space="preserve"> ha </w:t>
      </w:r>
      <w:r w:rsidRPr="00DA23C5">
        <w:rPr>
          <w:rFonts w:ascii="Verdana" w:hAnsi="Verdana"/>
          <w:snapToGrid w:val="0"/>
          <w:sz w:val="18"/>
          <w:szCs w:val="18"/>
        </w:rPr>
        <w:t xml:space="preserve">assegnato alla Società </w:t>
      </w:r>
      <w:r w:rsidR="00FB5AD7" w:rsidRPr="00DA23C5">
        <w:rPr>
          <w:rFonts w:ascii="Verdana" w:hAnsi="Verdana"/>
          <w:snapToGrid w:val="0"/>
          <w:sz w:val="18"/>
          <w:szCs w:val="18"/>
        </w:rPr>
        <w:t>gli obiettivi per l’anno 202</w:t>
      </w:r>
      <w:r w:rsidRPr="00DA23C5">
        <w:rPr>
          <w:rFonts w:ascii="Verdana" w:hAnsi="Verdana"/>
          <w:snapToGrid w:val="0"/>
          <w:sz w:val="18"/>
          <w:szCs w:val="18"/>
        </w:rPr>
        <w:t>2;</w:t>
      </w:r>
      <w:r w:rsidR="00CB5E11" w:rsidRPr="00DA23C5">
        <w:rPr>
          <w:rFonts w:ascii="Verdana" w:hAnsi="Verdana"/>
          <w:snapToGrid w:val="0"/>
          <w:sz w:val="18"/>
          <w:szCs w:val="18"/>
        </w:rPr>
        <w:t xml:space="preserve"> </w:t>
      </w:r>
      <w:r w:rsidRPr="00DA23C5">
        <w:rPr>
          <w:rFonts w:ascii="Verdana" w:hAnsi="Verdana"/>
          <w:snapToGrid w:val="0"/>
          <w:sz w:val="18"/>
          <w:szCs w:val="18"/>
        </w:rPr>
        <w:t>ad</w:t>
      </w:r>
      <w:r w:rsidR="00CB5E11" w:rsidRPr="00DA23C5">
        <w:rPr>
          <w:rFonts w:ascii="Verdana" w:hAnsi="Verdana"/>
          <w:snapToGrid w:val="0"/>
          <w:sz w:val="18"/>
          <w:szCs w:val="18"/>
        </w:rPr>
        <w:t xml:space="preserve"> ogni obiettivo è stato assegnato anche i</w:t>
      </w:r>
      <w:r w:rsidR="00D533DB" w:rsidRPr="00DA23C5">
        <w:rPr>
          <w:rFonts w:ascii="Verdana" w:hAnsi="Verdana"/>
          <w:snapToGrid w:val="0"/>
          <w:sz w:val="18"/>
          <w:szCs w:val="18"/>
        </w:rPr>
        <w:t>l</w:t>
      </w:r>
      <w:r w:rsidR="00CB5E11" w:rsidRPr="00DA23C5">
        <w:rPr>
          <w:rFonts w:ascii="Verdana" w:hAnsi="Verdana"/>
          <w:snapToGrid w:val="0"/>
          <w:sz w:val="18"/>
          <w:szCs w:val="18"/>
        </w:rPr>
        <w:t xml:space="preserve"> relativo</w:t>
      </w:r>
      <w:r w:rsidR="00D533DB" w:rsidRPr="00DA23C5">
        <w:rPr>
          <w:rFonts w:ascii="Verdana" w:hAnsi="Verdana"/>
          <w:snapToGrid w:val="0"/>
          <w:sz w:val="18"/>
          <w:szCs w:val="18"/>
        </w:rPr>
        <w:t xml:space="preserve"> peso, informazione prevista nei documenti di programmazione (DUP) che i Comuni devono </w:t>
      </w:r>
      <w:r w:rsidR="00CB5E11" w:rsidRPr="00DA23C5">
        <w:rPr>
          <w:rFonts w:ascii="Verdana" w:hAnsi="Verdana"/>
          <w:snapToGrid w:val="0"/>
          <w:sz w:val="18"/>
          <w:szCs w:val="18"/>
        </w:rPr>
        <w:t xml:space="preserve">redigere e </w:t>
      </w:r>
      <w:r w:rsidR="00D533DB" w:rsidRPr="00DA23C5">
        <w:rPr>
          <w:rFonts w:ascii="Verdana" w:hAnsi="Verdana"/>
          <w:snapToGrid w:val="0"/>
          <w:sz w:val="18"/>
          <w:szCs w:val="18"/>
        </w:rPr>
        <w:t>trasmettere</w:t>
      </w:r>
      <w:r w:rsidR="00CB5E11" w:rsidRPr="00DA23C5">
        <w:rPr>
          <w:rFonts w:ascii="Verdana" w:hAnsi="Verdana"/>
          <w:snapToGrid w:val="0"/>
          <w:sz w:val="18"/>
          <w:szCs w:val="18"/>
        </w:rPr>
        <w:t xml:space="preserve"> ai competenti organi </w:t>
      </w:r>
      <w:r w:rsidR="00D533DB" w:rsidRPr="00DA23C5">
        <w:rPr>
          <w:rFonts w:ascii="Verdana" w:hAnsi="Verdana"/>
          <w:snapToGrid w:val="0"/>
          <w:sz w:val="18"/>
          <w:szCs w:val="18"/>
        </w:rPr>
        <w:t>entro novembre</w:t>
      </w:r>
      <w:r w:rsidR="00CB5E11" w:rsidRPr="00DA23C5">
        <w:rPr>
          <w:rFonts w:ascii="Verdana" w:hAnsi="Verdana"/>
          <w:snapToGrid w:val="0"/>
          <w:sz w:val="18"/>
          <w:szCs w:val="18"/>
        </w:rPr>
        <w:t xml:space="preserve">. </w:t>
      </w:r>
      <w:r w:rsidR="00CB5E11" w:rsidRPr="00DA23C5">
        <w:rPr>
          <w:rFonts w:ascii="Verdana" w:hAnsi="Verdana"/>
          <w:snapToGrid w:val="0"/>
          <w:sz w:val="18"/>
          <w:szCs w:val="18"/>
        </w:rPr>
        <w:lastRenderedPageBreak/>
        <w:t xml:space="preserve">Nelle verifiche </w:t>
      </w:r>
      <w:proofErr w:type="spellStart"/>
      <w:r w:rsidR="00CB5E11" w:rsidRPr="00DA23C5">
        <w:rPr>
          <w:rFonts w:ascii="Verdana" w:hAnsi="Verdana"/>
          <w:snapToGrid w:val="0"/>
          <w:sz w:val="18"/>
          <w:szCs w:val="18"/>
        </w:rPr>
        <w:t>infrannuali</w:t>
      </w:r>
      <w:proofErr w:type="spellEnd"/>
      <w:r w:rsidR="00CB5E11" w:rsidRPr="00DA23C5">
        <w:rPr>
          <w:rFonts w:ascii="Verdana" w:hAnsi="Verdana"/>
          <w:snapToGrid w:val="0"/>
          <w:sz w:val="18"/>
          <w:szCs w:val="18"/>
        </w:rPr>
        <w:t xml:space="preserve"> che la società è tenuta ad effettuare, come di prassi verrà data specifica informativa in merito al raggiungimento degli obiettivi assegnati.</w:t>
      </w:r>
    </w:p>
    <w:tbl>
      <w:tblPr>
        <w:tblW w:w="10490" w:type="dxa"/>
        <w:tblCellMar>
          <w:left w:w="70" w:type="dxa"/>
          <w:right w:w="70" w:type="dxa"/>
        </w:tblCellMar>
        <w:tblLook w:val="04A0" w:firstRow="1" w:lastRow="0" w:firstColumn="1" w:lastColumn="0" w:noHBand="0" w:noVBand="1"/>
      </w:tblPr>
      <w:tblGrid>
        <w:gridCol w:w="592"/>
        <w:gridCol w:w="3529"/>
        <w:gridCol w:w="279"/>
        <w:gridCol w:w="4951"/>
        <w:gridCol w:w="1139"/>
      </w:tblGrid>
      <w:tr w:rsidR="00621C9B" w:rsidRPr="00DA23C5" w:rsidTr="009615C6">
        <w:trPr>
          <w:trHeight w:val="263"/>
        </w:trPr>
        <w:tc>
          <w:tcPr>
            <w:tcW w:w="4121" w:type="dxa"/>
            <w:gridSpan w:val="2"/>
            <w:tcBorders>
              <w:top w:val="single" w:sz="4" w:space="0" w:color="auto"/>
              <w:left w:val="single" w:sz="4" w:space="0" w:color="auto"/>
              <w:bottom w:val="nil"/>
              <w:right w:val="single" w:sz="4" w:space="0" w:color="auto"/>
            </w:tcBorders>
            <w:shd w:val="clear" w:color="auto" w:fill="auto"/>
            <w:vAlign w:val="center"/>
            <w:hideMark/>
          </w:tcPr>
          <w:p w:rsidR="00621C9B" w:rsidRPr="00DA23C5" w:rsidRDefault="00621C9B" w:rsidP="00071495">
            <w:pPr>
              <w:rPr>
                <w:rFonts w:ascii="Verdana" w:hAnsi="Verdana" w:cs="Arial"/>
                <w:b/>
                <w:bCs/>
                <w:sz w:val="18"/>
                <w:szCs w:val="18"/>
                <w:lang w:eastAsia="it-IT"/>
              </w:rPr>
            </w:pPr>
            <w:r w:rsidRPr="00DA23C5">
              <w:rPr>
                <w:rFonts w:ascii="Verdana" w:hAnsi="Verdana" w:cs="Arial"/>
                <w:b/>
                <w:bCs/>
                <w:sz w:val="18"/>
                <w:szCs w:val="18"/>
                <w:lang w:eastAsia="it-IT"/>
              </w:rPr>
              <w:t> </w:t>
            </w:r>
          </w:p>
        </w:tc>
        <w:tc>
          <w:tcPr>
            <w:tcW w:w="5230" w:type="dxa"/>
            <w:gridSpan w:val="2"/>
            <w:vMerge w:val="restart"/>
            <w:tcBorders>
              <w:top w:val="single" w:sz="4" w:space="0" w:color="auto"/>
              <w:left w:val="nil"/>
              <w:bottom w:val="single" w:sz="4" w:space="0" w:color="000000"/>
              <w:right w:val="single" w:sz="4" w:space="0" w:color="auto"/>
            </w:tcBorders>
            <w:shd w:val="clear" w:color="auto" w:fill="auto"/>
            <w:vAlign w:val="center"/>
            <w:hideMark/>
          </w:tcPr>
          <w:p w:rsidR="00621C9B" w:rsidRPr="00DA23C5" w:rsidRDefault="00621C9B" w:rsidP="00071495">
            <w:pPr>
              <w:jc w:val="center"/>
              <w:rPr>
                <w:rFonts w:ascii="Verdana" w:hAnsi="Verdana" w:cs="Arial"/>
                <w:b/>
                <w:bCs/>
                <w:sz w:val="18"/>
                <w:szCs w:val="18"/>
                <w:lang w:eastAsia="it-IT"/>
              </w:rPr>
            </w:pPr>
            <w:r w:rsidRPr="00DA23C5">
              <w:rPr>
                <w:rFonts w:ascii="Verdana" w:hAnsi="Verdana" w:cs="Arial"/>
                <w:b/>
                <w:bCs/>
                <w:sz w:val="18"/>
                <w:szCs w:val="18"/>
                <w:lang w:eastAsia="it-IT"/>
              </w:rPr>
              <w:t>AZIONI</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C9B" w:rsidRPr="00DA23C5" w:rsidRDefault="00621C9B" w:rsidP="00071495">
            <w:pPr>
              <w:jc w:val="center"/>
              <w:rPr>
                <w:rFonts w:ascii="Verdana" w:hAnsi="Verdana" w:cs="Arial"/>
                <w:b/>
                <w:bCs/>
                <w:sz w:val="18"/>
                <w:szCs w:val="18"/>
                <w:lang w:eastAsia="it-IT"/>
              </w:rPr>
            </w:pPr>
            <w:proofErr w:type="gramStart"/>
            <w:r w:rsidRPr="00DA23C5">
              <w:rPr>
                <w:rFonts w:ascii="Verdana" w:hAnsi="Verdana" w:cs="Arial"/>
                <w:b/>
                <w:bCs/>
                <w:sz w:val="18"/>
                <w:szCs w:val="18"/>
                <w:lang w:eastAsia="it-IT"/>
              </w:rPr>
              <w:t>pes</w:t>
            </w:r>
            <w:r w:rsidR="001D3D54" w:rsidRPr="00DA23C5">
              <w:rPr>
                <w:rFonts w:ascii="Verdana" w:hAnsi="Verdana" w:cs="Arial"/>
                <w:b/>
                <w:bCs/>
                <w:sz w:val="18"/>
                <w:szCs w:val="18"/>
                <w:lang w:eastAsia="it-IT"/>
              </w:rPr>
              <w:t>i</w:t>
            </w:r>
            <w:proofErr w:type="gramEnd"/>
            <w:r w:rsidRPr="00DA23C5">
              <w:rPr>
                <w:rFonts w:ascii="Verdana" w:hAnsi="Verdana" w:cs="Arial"/>
                <w:b/>
                <w:bCs/>
                <w:sz w:val="18"/>
                <w:szCs w:val="18"/>
                <w:lang w:eastAsia="it-IT"/>
              </w:rPr>
              <w:t xml:space="preserve"> % </w:t>
            </w:r>
          </w:p>
        </w:tc>
      </w:tr>
      <w:tr w:rsidR="00621C9B" w:rsidRPr="00DA23C5" w:rsidTr="009615C6">
        <w:trPr>
          <w:trHeight w:val="58"/>
        </w:trPr>
        <w:tc>
          <w:tcPr>
            <w:tcW w:w="4121" w:type="dxa"/>
            <w:gridSpan w:val="2"/>
            <w:tcBorders>
              <w:top w:val="nil"/>
              <w:left w:val="single" w:sz="4" w:space="0" w:color="auto"/>
              <w:bottom w:val="single" w:sz="4" w:space="0" w:color="auto"/>
              <w:right w:val="single" w:sz="4" w:space="0" w:color="auto"/>
            </w:tcBorders>
            <w:shd w:val="clear" w:color="auto" w:fill="auto"/>
            <w:vAlign w:val="center"/>
            <w:hideMark/>
          </w:tcPr>
          <w:p w:rsidR="00621C9B" w:rsidRPr="00DA23C5" w:rsidRDefault="00621C9B" w:rsidP="00071495">
            <w:pPr>
              <w:rPr>
                <w:rFonts w:ascii="Verdana" w:hAnsi="Verdana" w:cs="Arial"/>
                <w:b/>
                <w:bCs/>
                <w:sz w:val="18"/>
                <w:szCs w:val="18"/>
                <w:lang w:eastAsia="it-IT"/>
              </w:rPr>
            </w:pPr>
            <w:r w:rsidRPr="00DA23C5">
              <w:rPr>
                <w:rFonts w:ascii="Verdana" w:hAnsi="Verdana" w:cs="Arial"/>
                <w:b/>
                <w:bCs/>
                <w:sz w:val="18"/>
                <w:szCs w:val="18"/>
                <w:lang w:eastAsia="it-IT"/>
              </w:rPr>
              <w:t>OBIETTIVI STRATEGICI</w:t>
            </w:r>
            <w:r w:rsidR="00DF7732" w:rsidRPr="00DA23C5">
              <w:rPr>
                <w:rFonts w:ascii="Verdana" w:hAnsi="Verdana" w:cs="Arial"/>
                <w:b/>
                <w:bCs/>
                <w:sz w:val="18"/>
                <w:szCs w:val="18"/>
                <w:lang w:eastAsia="it-IT"/>
              </w:rPr>
              <w:t xml:space="preserve"> 2023</w:t>
            </w:r>
          </w:p>
        </w:tc>
        <w:tc>
          <w:tcPr>
            <w:tcW w:w="5230" w:type="dxa"/>
            <w:gridSpan w:val="2"/>
            <w:vMerge/>
            <w:tcBorders>
              <w:top w:val="single" w:sz="4" w:space="0" w:color="auto"/>
              <w:left w:val="nil"/>
              <w:bottom w:val="single" w:sz="4" w:space="0" w:color="000000"/>
              <w:right w:val="single" w:sz="4" w:space="0" w:color="auto"/>
            </w:tcBorders>
            <w:vAlign w:val="center"/>
            <w:hideMark/>
          </w:tcPr>
          <w:p w:rsidR="00621C9B" w:rsidRPr="00DA23C5" w:rsidRDefault="00621C9B" w:rsidP="00071495">
            <w:pPr>
              <w:rPr>
                <w:rFonts w:ascii="Verdana" w:hAnsi="Verdana" w:cs="Arial"/>
                <w:bCs/>
                <w:sz w:val="18"/>
                <w:szCs w:val="18"/>
                <w:lang w:eastAsia="it-IT"/>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621C9B" w:rsidRPr="00DA23C5" w:rsidRDefault="00621C9B" w:rsidP="00071495">
            <w:pPr>
              <w:rPr>
                <w:rFonts w:ascii="Verdana" w:hAnsi="Verdana" w:cs="Arial"/>
                <w:bCs/>
                <w:sz w:val="18"/>
                <w:szCs w:val="18"/>
                <w:lang w:eastAsia="it-IT"/>
              </w:rPr>
            </w:pPr>
          </w:p>
        </w:tc>
      </w:tr>
      <w:tr w:rsidR="00DF7732" w:rsidRPr="00DA23C5" w:rsidTr="009615C6">
        <w:trPr>
          <w:trHeight w:val="886"/>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DF7732" w:rsidRPr="00DA23C5" w:rsidRDefault="00DF7732" w:rsidP="00DF7732">
            <w:pPr>
              <w:jc w:val="center"/>
              <w:rPr>
                <w:rFonts w:ascii="Verdana" w:hAnsi="Verdana" w:cs="Arial"/>
                <w:b/>
                <w:sz w:val="18"/>
                <w:szCs w:val="18"/>
                <w:lang w:eastAsia="it-IT"/>
              </w:rPr>
            </w:pPr>
            <w:r w:rsidRPr="00DA23C5">
              <w:rPr>
                <w:rFonts w:ascii="Verdana" w:hAnsi="Verdana" w:cs="Arial"/>
                <w:b/>
                <w:sz w:val="18"/>
                <w:szCs w:val="18"/>
                <w:lang w:eastAsia="it-IT"/>
              </w:rPr>
              <w:t>1</w:t>
            </w:r>
          </w:p>
        </w:tc>
        <w:tc>
          <w:tcPr>
            <w:tcW w:w="3529" w:type="dxa"/>
            <w:tcBorders>
              <w:top w:val="nil"/>
              <w:left w:val="nil"/>
              <w:bottom w:val="single" w:sz="4" w:space="0" w:color="auto"/>
              <w:right w:val="single" w:sz="4" w:space="0" w:color="auto"/>
            </w:tcBorders>
            <w:shd w:val="clear" w:color="auto" w:fill="auto"/>
            <w:hideMark/>
          </w:tcPr>
          <w:p w:rsidR="00DF7732" w:rsidRPr="00452040" w:rsidRDefault="00DF7732" w:rsidP="00452040">
            <w:pPr>
              <w:jc w:val="both"/>
              <w:rPr>
                <w:rFonts w:ascii="Verdana" w:hAnsi="Verdana" w:cs="Arial"/>
                <w:bCs/>
                <w:sz w:val="18"/>
                <w:szCs w:val="18"/>
                <w:lang w:eastAsia="it-IT"/>
              </w:rPr>
            </w:pPr>
            <w:r w:rsidRPr="00452040">
              <w:rPr>
                <w:rFonts w:ascii="Verdana" w:hAnsi="Verdana" w:cs="Arial"/>
                <w:bCs/>
                <w:sz w:val="18"/>
                <w:szCs w:val="18"/>
              </w:rPr>
              <w:t>Rispetto del cronoprogramma degli interventi approvato da ATERSIR con delibera n. 69/2022</w:t>
            </w:r>
          </w:p>
        </w:tc>
        <w:tc>
          <w:tcPr>
            <w:tcW w:w="5230" w:type="dxa"/>
            <w:gridSpan w:val="2"/>
            <w:tcBorders>
              <w:top w:val="nil"/>
              <w:left w:val="nil"/>
              <w:bottom w:val="single" w:sz="4" w:space="0" w:color="auto"/>
              <w:right w:val="single" w:sz="4" w:space="0" w:color="auto"/>
            </w:tcBorders>
            <w:shd w:val="clear" w:color="auto" w:fill="auto"/>
            <w:vAlign w:val="bottom"/>
            <w:hideMark/>
          </w:tcPr>
          <w:p w:rsidR="00DF7732" w:rsidRPr="00DA23C5" w:rsidRDefault="00DF7732" w:rsidP="00DF7732">
            <w:pPr>
              <w:jc w:val="right"/>
              <w:rPr>
                <w:rFonts w:ascii="Verdana" w:hAnsi="Verdana" w:cs="Arial"/>
                <w:sz w:val="18"/>
                <w:szCs w:val="18"/>
              </w:rPr>
            </w:pPr>
            <w:r w:rsidRPr="00DA23C5">
              <w:rPr>
                <w:rFonts w:ascii="Verdana" w:hAnsi="Verdana" w:cs="Arial"/>
                <w:sz w:val="18"/>
                <w:szCs w:val="18"/>
              </w:rPr>
              <w:t> </w:t>
            </w:r>
          </w:p>
        </w:tc>
        <w:tc>
          <w:tcPr>
            <w:tcW w:w="1139" w:type="dxa"/>
            <w:tcBorders>
              <w:top w:val="nil"/>
              <w:left w:val="nil"/>
              <w:bottom w:val="single" w:sz="4" w:space="0" w:color="auto"/>
              <w:right w:val="single" w:sz="4" w:space="0" w:color="auto"/>
            </w:tcBorders>
            <w:shd w:val="clear" w:color="auto" w:fill="auto"/>
            <w:hideMark/>
          </w:tcPr>
          <w:p w:rsidR="00DF7732" w:rsidRPr="00DA23C5" w:rsidRDefault="00DF7732" w:rsidP="00DF7732">
            <w:pPr>
              <w:jc w:val="center"/>
              <w:rPr>
                <w:rFonts w:ascii="Verdana" w:hAnsi="Verdana" w:cs="Arial"/>
                <w:bCs/>
                <w:sz w:val="18"/>
                <w:szCs w:val="18"/>
                <w:lang w:eastAsia="it-IT"/>
              </w:rPr>
            </w:pPr>
            <w:r w:rsidRPr="00DA23C5">
              <w:rPr>
                <w:rFonts w:ascii="Verdana" w:hAnsi="Verdana" w:cs="Arial"/>
                <w:bCs/>
                <w:sz w:val="18"/>
                <w:szCs w:val="18"/>
                <w:lang w:eastAsia="it-IT"/>
              </w:rPr>
              <w:t>25%</w:t>
            </w:r>
          </w:p>
        </w:tc>
      </w:tr>
      <w:tr w:rsidR="00DF7732" w:rsidRPr="00DA23C5" w:rsidTr="009615C6">
        <w:trPr>
          <w:trHeight w:val="1383"/>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DF7732" w:rsidRPr="00DA23C5" w:rsidRDefault="00DF7732" w:rsidP="00DF7732">
            <w:pPr>
              <w:jc w:val="center"/>
              <w:rPr>
                <w:rFonts w:ascii="Verdana" w:hAnsi="Verdana" w:cs="Arial"/>
                <w:b/>
                <w:sz w:val="18"/>
                <w:szCs w:val="18"/>
                <w:lang w:eastAsia="it-IT"/>
              </w:rPr>
            </w:pPr>
            <w:r w:rsidRPr="00DA23C5">
              <w:rPr>
                <w:rFonts w:ascii="Verdana" w:hAnsi="Verdana" w:cs="Arial"/>
                <w:b/>
                <w:sz w:val="18"/>
                <w:szCs w:val="18"/>
                <w:lang w:eastAsia="it-IT"/>
              </w:rPr>
              <w:t>1.a</w:t>
            </w:r>
          </w:p>
        </w:tc>
        <w:tc>
          <w:tcPr>
            <w:tcW w:w="3529" w:type="dxa"/>
            <w:tcBorders>
              <w:top w:val="nil"/>
              <w:left w:val="nil"/>
              <w:bottom w:val="single" w:sz="4" w:space="0" w:color="auto"/>
              <w:right w:val="single" w:sz="4" w:space="0" w:color="auto"/>
            </w:tcBorders>
            <w:shd w:val="clear" w:color="auto" w:fill="auto"/>
            <w:hideMark/>
          </w:tcPr>
          <w:p w:rsidR="00DF7732" w:rsidRPr="00DA23C5" w:rsidRDefault="00DF7732" w:rsidP="00DF7732">
            <w:pPr>
              <w:ind w:firstLineChars="100" w:firstLine="180"/>
              <w:rPr>
                <w:rFonts w:ascii="Verdana" w:hAnsi="Verdana" w:cs="Arial"/>
                <w:sz w:val="18"/>
                <w:szCs w:val="18"/>
              </w:rPr>
            </w:pPr>
            <w:r w:rsidRPr="00DA23C5">
              <w:rPr>
                <w:rFonts w:ascii="Verdana" w:hAnsi="Verdana" w:cs="Arial"/>
                <w:sz w:val="18"/>
                <w:szCs w:val="18"/>
              </w:rPr>
              <w:t> </w:t>
            </w:r>
          </w:p>
        </w:tc>
        <w:tc>
          <w:tcPr>
            <w:tcW w:w="5230" w:type="dxa"/>
            <w:gridSpan w:val="2"/>
            <w:tcBorders>
              <w:top w:val="nil"/>
              <w:left w:val="nil"/>
              <w:bottom w:val="single" w:sz="4" w:space="0" w:color="auto"/>
              <w:right w:val="single" w:sz="4" w:space="0" w:color="auto"/>
            </w:tcBorders>
            <w:shd w:val="clear" w:color="auto" w:fill="auto"/>
            <w:hideMark/>
          </w:tcPr>
          <w:p w:rsidR="00DF7732" w:rsidRPr="00DA23C5" w:rsidRDefault="00DF7732" w:rsidP="000329BC">
            <w:pPr>
              <w:jc w:val="both"/>
              <w:rPr>
                <w:rFonts w:ascii="Verdana" w:hAnsi="Verdana" w:cs="Arial"/>
                <w:sz w:val="18"/>
                <w:szCs w:val="18"/>
              </w:rPr>
            </w:pPr>
            <w:r w:rsidRPr="00DA23C5">
              <w:rPr>
                <w:rFonts w:ascii="Verdana" w:hAnsi="Verdana" w:cs="Arial"/>
                <w:sz w:val="18"/>
                <w:szCs w:val="18"/>
              </w:rPr>
              <w:t>Completamento delle azioni del Piano degli Interventi 2022-2023 e rispetto del relativo cronoprogramma approvato da ATERSIR con successive modifiche</w:t>
            </w:r>
          </w:p>
        </w:tc>
        <w:tc>
          <w:tcPr>
            <w:tcW w:w="1139" w:type="dxa"/>
            <w:tcBorders>
              <w:top w:val="nil"/>
              <w:left w:val="nil"/>
              <w:bottom w:val="single" w:sz="4" w:space="0" w:color="auto"/>
              <w:right w:val="single" w:sz="4" w:space="0" w:color="auto"/>
            </w:tcBorders>
            <w:shd w:val="clear" w:color="auto" w:fill="auto"/>
            <w:vAlign w:val="bottom"/>
            <w:hideMark/>
          </w:tcPr>
          <w:p w:rsidR="00DF7732" w:rsidRPr="00DA23C5" w:rsidRDefault="00DF7732" w:rsidP="00DF7732">
            <w:pPr>
              <w:jc w:val="center"/>
              <w:rPr>
                <w:rFonts w:ascii="Verdana" w:hAnsi="Verdana" w:cs="Arial"/>
                <w:sz w:val="18"/>
                <w:szCs w:val="18"/>
                <w:lang w:eastAsia="it-IT"/>
              </w:rPr>
            </w:pPr>
            <w:r w:rsidRPr="00DA23C5">
              <w:rPr>
                <w:rFonts w:ascii="Verdana" w:hAnsi="Verdana" w:cs="Arial"/>
                <w:sz w:val="18"/>
                <w:szCs w:val="18"/>
                <w:lang w:eastAsia="it-IT"/>
              </w:rPr>
              <w:t>25%</w:t>
            </w:r>
          </w:p>
        </w:tc>
      </w:tr>
      <w:tr w:rsidR="00621C9B" w:rsidRPr="00DA23C5" w:rsidTr="009615C6">
        <w:trPr>
          <w:trHeight w:val="679"/>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621C9B" w:rsidRPr="00DA23C5" w:rsidRDefault="00621C9B" w:rsidP="00071495">
            <w:pPr>
              <w:jc w:val="center"/>
              <w:rPr>
                <w:rFonts w:ascii="Verdana" w:hAnsi="Verdana" w:cs="Arial"/>
                <w:b/>
                <w:sz w:val="18"/>
                <w:szCs w:val="18"/>
                <w:lang w:eastAsia="it-IT"/>
              </w:rPr>
            </w:pPr>
            <w:r w:rsidRPr="00DA23C5">
              <w:rPr>
                <w:rFonts w:ascii="Verdana" w:hAnsi="Verdana" w:cs="Arial"/>
                <w:b/>
                <w:sz w:val="18"/>
                <w:szCs w:val="18"/>
                <w:lang w:eastAsia="it-IT"/>
              </w:rPr>
              <w:t>2</w:t>
            </w:r>
          </w:p>
        </w:tc>
        <w:tc>
          <w:tcPr>
            <w:tcW w:w="3529" w:type="dxa"/>
            <w:tcBorders>
              <w:top w:val="nil"/>
              <w:left w:val="nil"/>
              <w:bottom w:val="single" w:sz="4" w:space="0" w:color="auto"/>
              <w:right w:val="single" w:sz="4" w:space="0" w:color="auto"/>
            </w:tcBorders>
            <w:shd w:val="clear" w:color="auto" w:fill="auto"/>
            <w:hideMark/>
          </w:tcPr>
          <w:p w:rsidR="00621C9B" w:rsidRPr="00DA23C5" w:rsidRDefault="00621C9B" w:rsidP="00071495">
            <w:pPr>
              <w:jc w:val="both"/>
              <w:rPr>
                <w:rFonts w:ascii="Verdana" w:hAnsi="Verdana" w:cs="Arial"/>
                <w:bCs/>
                <w:sz w:val="18"/>
                <w:szCs w:val="18"/>
                <w:lang w:eastAsia="it-IT"/>
              </w:rPr>
            </w:pPr>
            <w:r w:rsidRPr="00DA23C5">
              <w:rPr>
                <w:rFonts w:ascii="Verdana" w:hAnsi="Verdana" w:cs="Arial"/>
                <w:bCs/>
                <w:sz w:val="18"/>
                <w:szCs w:val="18"/>
                <w:lang w:eastAsia="it-IT"/>
              </w:rPr>
              <w:t>Realizzazione del progetto di costruzione e gestione delle nuove "Case dell'acqua"</w:t>
            </w:r>
          </w:p>
        </w:tc>
        <w:tc>
          <w:tcPr>
            <w:tcW w:w="5230" w:type="dxa"/>
            <w:gridSpan w:val="2"/>
            <w:tcBorders>
              <w:top w:val="nil"/>
              <w:left w:val="nil"/>
              <w:bottom w:val="single" w:sz="4" w:space="0" w:color="auto"/>
              <w:right w:val="single" w:sz="4" w:space="0" w:color="auto"/>
            </w:tcBorders>
            <w:shd w:val="clear" w:color="auto" w:fill="auto"/>
            <w:vAlign w:val="bottom"/>
            <w:hideMark/>
          </w:tcPr>
          <w:p w:rsidR="00621C9B" w:rsidRPr="00DA23C5" w:rsidRDefault="00621C9B" w:rsidP="000329BC">
            <w:pPr>
              <w:jc w:val="both"/>
              <w:rPr>
                <w:rFonts w:ascii="Verdana" w:hAnsi="Verdana" w:cs="Arial"/>
                <w:sz w:val="18"/>
                <w:szCs w:val="18"/>
                <w:lang w:eastAsia="it-IT"/>
              </w:rPr>
            </w:pPr>
            <w:r w:rsidRPr="00DA23C5">
              <w:rPr>
                <w:rFonts w:ascii="Verdana" w:hAnsi="Verdana" w:cs="Arial"/>
                <w:sz w:val="18"/>
                <w:szCs w:val="18"/>
                <w:lang w:eastAsia="it-IT"/>
              </w:rPr>
              <w:t> </w:t>
            </w:r>
          </w:p>
        </w:tc>
        <w:tc>
          <w:tcPr>
            <w:tcW w:w="1139" w:type="dxa"/>
            <w:tcBorders>
              <w:top w:val="nil"/>
              <w:left w:val="nil"/>
              <w:bottom w:val="single" w:sz="4" w:space="0" w:color="auto"/>
              <w:right w:val="single" w:sz="4" w:space="0" w:color="auto"/>
            </w:tcBorders>
            <w:shd w:val="clear" w:color="auto" w:fill="auto"/>
            <w:hideMark/>
          </w:tcPr>
          <w:p w:rsidR="00621C9B" w:rsidRPr="00DA23C5" w:rsidRDefault="00621C9B" w:rsidP="00071495">
            <w:pPr>
              <w:jc w:val="center"/>
              <w:rPr>
                <w:rFonts w:ascii="Verdana" w:hAnsi="Verdana" w:cs="Arial"/>
                <w:bCs/>
                <w:sz w:val="18"/>
                <w:szCs w:val="18"/>
                <w:lang w:eastAsia="it-IT"/>
              </w:rPr>
            </w:pPr>
            <w:r w:rsidRPr="00DA23C5">
              <w:rPr>
                <w:rFonts w:ascii="Verdana" w:hAnsi="Verdana" w:cs="Arial"/>
                <w:bCs/>
                <w:sz w:val="18"/>
                <w:szCs w:val="18"/>
                <w:lang w:eastAsia="it-IT"/>
              </w:rPr>
              <w:t>10%</w:t>
            </w:r>
          </w:p>
        </w:tc>
      </w:tr>
      <w:tr w:rsidR="00621C9B" w:rsidRPr="00DA23C5" w:rsidTr="009615C6">
        <w:trPr>
          <w:trHeight w:val="2907"/>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621C9B" w:rsidRPr="00DA23C5" w:rsidRDefault="00621C9B" w:rsidP="00071495">
            <w:pPr>
              <w:jc w:val="center"/>
              <w:rPr>
                <w:rFonts w:ascii="Verdana" w:hAnsi="Verdana" w:cs="Arial"/>
                <w:b/>
                <w:sz w:val="18"/>
                <w:szCs w:val="18"/>
                <w:lang w:eastAsia="it-IT"/>
              </w:rPr>
            </w:pPr>
            <w:r w:rsidRPr="00DA23C5">
              <w:rPr>
                <w:rFonts w:ascii="Verdana" w:hAnsi="Verdana" w:cs="Arial"/>
                <w:b/>
                <w:sz w:val="18"/>
                <w:szCs w:val="18"/>
                <w:lang w:eastAsia="it-IT"/>
              </w:rPr>
              <w:t>2.a</w:t>
            </w:r>
          </w:p>
        </w:tc>
        <w:tc>
          <w:tcPr>
            <w:tcW w:w="3529" w:type="dxa"/>
            <w:tcBorders>
              <w:top w:val="nil"/>
              <w:left w:val="nil"/>
              <w:bottom w:val="single" w:sz="4" w:space="0" w:color="auto"/>
              <w:right w:val="single" w:sz="4" w:space="0" w:color="auto"/>
            </w:tcBorders>
            <w:shd w:val="clear" w:color="auto" w:fill="auto"/>
            <w:vAlign w:val="bottom"/>
            <w:hideMark/>
          </w:tcPr>
          <w:p w:rsidR="00621C9B" w:rsidRPr="00DA23C5" w:rsidRDefault="00621C9B" w:rsidP="00071495">
            <w:pPr>
              <w:ind w:firstLineChars="100" w:firstLine="180"/>
              <w:jc w:val="both"/>
              <w:rPr>
                <w:rFonts w:ascii="Verdana" w:hAnsi="Verdana" w:cs="Arial"/>
                <w:sz w:val="18"/>
                <w:szCs w:val="18"/>
                <w:lang w:eastAsia="it-IT"/>
              </w:rPr>
            </w:pPr>
            <w:r w:rsidRPr="00DA23C5">
              <w:rPr>
                <w:rFonts w:ascii="Verdana" w:hAnsi="Verdana" w:cs="Arial"/>
                <w:sz w:val="18"/>
                <w:szCs w:val="18"/>
                <w:lang w:eastAsia="it-IT"/>
              </w:rPr>
              <w:t> </w:t>
            </w:r>
          </w:p>
        </w:tc>
        <w:tc>
          <w:tcPr>
            <w:tcW w:w="5230" w:type="dxa"/>
            <w:gridSpan w:val="2"/>
            <w:tcBorders>
              <w:top w:val="nil"/>
              <w:left w:val="nil"/>
              <w:bottom w:val="single" w:sz="4" w:space="0" w:color="auto"/>
              <w:right w:val="single" w:sz="4" w:space="0" w:color="auto"/>
            </w:tcBorders>
            <w:shd w:val="clear" w:color="auto" w:fill="auto"/>
            <w:hideMark/>
          </w:tcPr>
          <w:tbl>
            <w:tblPr>
              <w:tblW w:w="5020" w:type="dxa"/>
              <w:tblCellMar>
                <w:left w:w="70" w:type="dxa"/>
                <w:right w:w="70" w:type="dxa"/>
              </w:tblCellMar>
              <w:tblLook w:val="04A0" w:firstRow="1" w:lastRow="0" w:firstColumn="1" w:lastColumn="0" w:noHBand="0" w:noVBand="1"/>
            </w:tblPr>
            <w:tblGrid>
              <w:gridCol w:w="5020"/>
            </w:tblGrid>
            <w:tr w:rsidR="00DF7732" w:rsidRPr="00DA23C5" w:rsidTr="008360D7">
              <w:trPr>
                <w:trHeight w:val="2861"/>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F7732" w:rsidRPr="00DA23C5" w:rsidRDefault="00DF7732" w:rsidP="000329BC">
                  <w:pPr>
                    <w:jc w:val="both"/>
                    <w:rPr>
                      <w:rFonts w:ascii="Verdana" w:hAnsi="Verdana" w:cs="Arial"/>
                      <w:sz w:val="18"/>
                      <w:szCs w:val="18"/>
                      <w:lang w:eastAsia="it-IT"/>
                    </w:rPr>
                  </w:pPr>
                  <w:r w:rsidRPr="00DA23C5">
                    <w:rPr>
                      <w:rFonts w:ascii="Verdana" w:hAnsi="Verdana" w:cs="Arial"/>
                      <w:sz w:val="18"/>
                      <w:szCs w:val="18"/>
                      <w:lang w:eastAsia="it-IT"/>
                    </w:rPr>
                    <w:t>Documento di pianificazione strategica che, in coerenza con il metodo tariffario vigente (altre attività idrico):</w:t>
                  </w:r>
                  <w:r w:rsidRPr="00DA23C5">
                    <w:rPr>
                      <w:rFonts w:ascii="Verdana" w:hAnsi="Verdana" w:cs="Arial"/>
                      <w:sz w:val="18"/>
                      <w:szCs w:val="18"/>
                      <w:lang w:eastAsia="it-IT"/>
                    </w:rPr>
                    <w:br/>
                    <w:t xml:space="preserve">1. </w:t>
                  </w:r>
                  <w:proofErr w:type="gramStart"/>
                  <w:r w:rsidRPr="00DA23C5">
                    <w:rPr>
                      <w:rFonts w:ascii="Verdana" w:hAnsi="Verdana" w:cs="Arial"/>
                      <w:sz w:val="18"/>
                      <w:szCs w:val="18"/>
                      <w:lang w:eastAsia="it-IT"/>
                    </w:rPr>
                    <w:t>fotografi</w:t>
                  </w:r>
                  <w:proofErr w:type="gramEnd"/>
                  <w:r w:rsidRPr="00DA23C5">
                    <w:rPr>
                      <w:rFonts w:ascii="Verdana" w:hAnsi="Verdana" w:cs="Arial"/>
                      <w:sz w:val="18"/>
                      <w:szCs w:val="18"/>
                      <w:lang w:eastAsia="it-IT"/>
                    </w:rPr>
                    <w:t xml:space="preserve"> la situazione esistente delle case dell'acqua realizzate sul territorio,                                                            2. </w:t>
                  </w:r>
                  <w:proofErr w:type="gramStart"/>
                  <w:r w:rsidRPr="00DA23C5">
                    <w:rPr>
                      <w:rFonts w:ascii="Verdana" w:hAnsi="Verdana" w:cs="Arial"/>
                      <w:sz w:val="18"/>
                      <w:szCs w:val="18"/>
                      <w:lang w:eastAsia="it-IT"/>
                    </w:rPr>
                    <w:t>valuti</w:t>
                  </w:r>
                  <w:proofErr w:type="gramEnd"/>
                  <w:r w:rsidRPr="00DA23C5">
                    <w:rPr>
                      <w:rFonts w:ascii="Verdana" w:hAnsi="Verdana" w:cs="Arial"/>
                      <w:sz w:val="18"/>
                      <w:szCs w:val="18"/>
                      <w:lang w:eastAsia="it-IT"/>
                    </w:rPr>
                    <w:t xml:space="preserve"> le necessità di investimento sulle infrastrutture esistenti,</w:t>
                  </w:r>
                  <w:r w:rsidRPr="00DA23C5">
                    <w:rPr>
                      <w:rFonts w:ascii="Verdana" w:hAnsi="Verdana" w:cs="Arial"/>
                      <w:sz w:val="18"/>
                      <w:szCs w:val="18"/>
                      <w:lang w:eastAsia="it-IT"/>
                    </w:rPr>
                    <w:br/>
                    <w:t xml:space="preserve">3. </w:t>
                  </w:r>
                  <w:proofErr w:type="gramStart"/>
                  <w:r w:rsidRPr="00DA23C5">
                    <w:rPr>
                      <w:rFonts w:ascii="Verdana" w:hAnsi="Verdana" w:cs="Arial"/>
                      <w:sz w:val="18"/>
                      <w:szCs w:val="18"/>
                      <w:lang w:eastAsia="it-IT"/>
                    </w:rPr>
                    <w:t>identifichi</w:t>
                  </w:r>
                  <w:proofErr w:type="gramEnd"/>
                  <w:r w:rsidRPr="00DA23C5">
                    <w:rPr>
                      <w:rFonts w:ascii="Verdana" w:hAnsi="Verdana" w:cs="Arial"/>
                      <w:sz w:val="18"/>
                      <w:szCs w:val="18"/>
                      <w:lang w:eastAsia="it-IT"/>
                    </w:rPr>
                    <w:t xml:space="preserve"> le necessità di ulteriori case dell'acqua, integrando le stesse con il progetto sviluppato nel 2022,</w:t>
                  </w:r>
                  <w:r w:rsidRPr="00DA23C5">
                    <w:rPr>
                      <w:rFonts w:ascii="Verdana" w:hAnsi="Verdana" w:cs="Arial"/>
                      <w:sz w:val="18"/>
                      <w:szCs w:val="18"/>
                      <w:lang w:eastAsia="it-IT"/>
                    </w:rPr>
                    <w:br/>
                    <w:t xml:space="preserve">4. </w:t>
                  </w:r>
                  <w:proofErr w:type="gramStart"/>
                  <w:r w:rsidRPr="00DA23C5">
                    <w:rPr>
                      <w:rFonts w:ascii="Verdana" w:hAnsi="Verdana" w:cs="Arial"/>
                      <w:sz w:val="18"/>
                      <w:szCs w:val="18"/>
                      <w:lang w:eastAsia="it-IT"/>
                    </w:rPr>
                    <w:t>definisca</w:t>
                  </w:r>
                  <w:proofErr w:type="gramEnd"/>
                  <w:r w:rsidRPr="00DA23C5">
                    <w:rPr>
                      <w:rFonts w:ascii="Verdana" w:hAnsi="Verdana" w:cs="Arial"/>
                      <w:sz w:val="18"/>
                      <w:szCs w:val="18"/>
                      <w:lang w:eastAsia="it-IT"/>
                    </w:rPr>
                    <w:t xml:space="preserve"> un progetto di sviluppo e di gestione unitaria in capo a Romagna Acque</w:t>
                  </w:r>
                </w:p>
              </w:tc>
            </w:tr>
          </w:tbl>
          <w:p w:rsidR="00621C9B" w:rsidRPr="00DA23C5" w:rsidRDefault="00621C9B" w:rsidP="000329BC">
            <w:pPr>
              <w:jc w:val="both"/>
              <w:rPr>
                <w:rFonts w:ascii="Verdana" w:hAnsi="Verdana" w:cs="Arial"/>
                <w:sz w:val="18"/>
                <w:szCs w:val="18"/>
                <w:lang w:eastAsia="it-IT"/>
              </w:rPr>
            </w:pPr>
          </w:p>
        </w:tc>
        <w:tc>
          <w:tcPr>
            <w:tcW w:w="1139" w:type="dxa"/>
            <w:tcBorders>
              <w:top w:val="nil"/>
              <w:left w:val="nil"/>
              <w:bottom w:val="single" w:sz="4" w:space="0" w:color="auto"/>
              <w:right w:val="single" w:sz="4" w:space="0" w:color="auto"/>
            </w:tcBorders>
            <w:shd w:val="clear" w:color="auto" w:fill="auto"/>
            <w:vAlign w:val="bottom"/>
            <w:hideMark/>
          </w:tcPr>
          <w:p w:rsidR="00621C9B" w:rsidRPr="00DA23C5" w:rsidRDefault="00DF7732" w:rsidP="00071495">
            <w:pPr>
              <w:jc w:val="center"/>
              <w:rPr>
                <w:rFonts w:ascii="Verdana" w:hAnsi="Verdana" w:cs="Arial"/>
                <w:sz w:val="18"/>
                <w:szCs w:val="18"/>
                <w:lang w:eastAsia="it-IT"/>
              </w:rPr>
            </w:pPr>
            <w:r w:rsidRPr="00DA23C5">
              <w:rPr>
                <w:rFonts w:ascii="Verdana" w:hAnsi="Verdana" w:cs="Arial"/>
                <w:sz w:val="18"/>
                <w:szCs w:val="18"/>
                <w:lang w:eastAsia="it-IT"/>
              </w:rPr>
              <w:t>10</w:t>
            </w:r>
            <w:r w:rsidR="00621C9B" w:rsidRPr="00DA23C5">
              <w:rPr>
                <w:rFonts w:ascii="Verdana" w:hAnsi="Verdana" w:cs="Arial"/>
                <w:sz w:val="18"/>
                <w:szCs w:val="18"/>
                <w:lang w:eastAsia="it-IT"/>
              </w:rPr>
              <w:t>%</w:t>
            </w:r>
          </w:p>
        </w:tc>
      </w:tr>
      <w:tr w:rsidR="00304C75" w:rsidRPr="00DA23C5" w:rsidTr="009615C6">
        <w:trPr>
          <w:trHeight w:val="902"/>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304C75" w:rsidRPr="00DA23C5" w:rsidRDefault="00304C75" w:rsidP="00304C75">
            <w:pPr>
              <w:jc w:val="center"/>
              <w:rPr>
                <w:rFonts w:ascii="Verdana" w:hAnsi="Verdana" w:cs="Arial"/>
                <w:b/>
                <w:sz w:val="18"/>
                <w:szCs w:val="18"/>
                <w:lang w:eastAsia="it-IT"/>
              </w:rPr>
            </w:pPr>
            <w:r w:rsidRPr="00DA23C5">
              <w:rPr>
                <w:rFonts w:ascii="Verdana" w:hAnsi="Verdana" w:cs="Arial"/>
                <w:b/>
                <w:sz w:val="18"/>
                <w:szCs w:val="18"/>
                <w:lang w:eastAsia="it-IT"/>
              </w:rPr>
              <w:t>3</w:t>
            </w:r>
          </w:p>
        </w:tc>
        <w:tc>
          <w:tcPr>
            <w:tcW w:w="3529" w:type="dxa"/>
            <w:tcBorders>
              <w:top w:val="nil"/>
              <w:left w:val="nil"/>
              <w:bottom w:val="single" w:sz="4" w:space="0" w:color="auto"/>
              <w:right w:val="single" w:sz="4" w:space="0" w:color="auto"/>
            </w:tcBorders>
            <w:shd w:val="clear" w:color="auto" w:fill="auto"/>
            <w:hideMark/>
          </w:tcPr>
          <w:p w:rsidR="00304C75" w:rsidRPr="00452040" w:rsidRDefault="00304C75" w:rsidP="00452040">
            <w:pPr>
              <w:jc w:val="both"/>
              <w:rPr>
                <w:rFonts w:ascii="Verdana" w:hAnsi="Verdana" w:cs="Arial"/>
                <w:bCs/>
                <w:sz w:val="18"/>
                <w:szCs w:val="18"/>
                <w:lang w:eastAsia="it-IT"/>
              </w:rPr>
            </w:pPr>
            <w:r w:rsidRPr="00452040">
              <w:rPr>
                <w:rFonts w:ascii="Verdana" w:hAnsi="Verdana" w:cs="Arial"/>
                <w:bCs/>
                <w:sz w:val="18"/>
                <w:szCs w:val="18"/>
              </w:rPr>
              <w:t>Miglioramento della qualità tecnica del servizio idrico integrato mediante l'introduzione (volontaria) del macro-indicatore M3 - qualità dell'acqua erogata (Delibera ARERA 917/2017)</w:t>
            </w:r>
          </w:p>
        </w:tc>
        <w:tc>
          <w:tcPr>
            <w:tcW w:w="5230" w:type="dxa"/>
            <w:gridSpan w:val="2"/>
            <w:tcBorders>
              <w:top w:val="nil"/>
              <w:left w:val="nil"/>
              <w:bottom w:val="single" w:sz="4" w:space="0" w:color="auto"/>
              <w:right w:val="single" w:sz="4" w:space="0" w:color="auto"/>
            </w:tcBorders>
            <w:shd w:val="clear" w:color="auto" w:fill="auto"/>
            <w:vAlign w:val="bottom"/>
            <w:hideMark/>
          </w:tcPr>
          <w:p w:rsidR="00304C75" w:rsidRPr="00DA23C5" w:rsidRDefault="00304C75" w:rsidP="000329BC">
            <w:pPr>
              <w:jc w:val="both"/>
              <w:rPr>
                <w:rFonts w:ascii="Verdana" w:hAnsi="Verdana" w:cs="Arial"/>
                <w:sz w:val="18"/>
                <w:szCs w:val="18"/>
              </w:rPr>
            </w:pPr>
            <w:r w:rsidRPr="00DA23C5">
              <w:rPr>
                <w:rFonts w:ascii="Verdana" w:hAnsi="Verdana" w:cs="Arial"/>
                <w:sz w:val="18"/>
                <w:szCs w:val="18"/>
              </w:rPr>
              <w:t> </w:t>
            </w:r>
          </w:p>
        </w:tc>
        <w:tc>
          <w:tcPr>
            <w:tcW w:w="1139" w:type="dxa"/>
            <w:tcBorders>
              <w:top w:val="nil"/>
              <w:left w:val="nil"/>
              <w:bottom w:val="single" w:sz="4" w:space="0" w:color="auto"/>
              <w:right w:val="single" w:sz="4" w:space="0" w:color="auto"/>
            </w:tcBorders>
            <w:shd w:val="clear" w:color="auto" w:fill="auto"/>
            <w:hideMark/>
          </w:tcPr>
          <w:p w:rsidR="00304C75" w:rsidRPr="00DA23C5" w:rsidRDefault="00304C75" w:rsidP="00304C75">
            <w:pPr>
              <w:rPr>
                <w:rFonts w:ascii="Verdana" w:hAnsi="Verdana" w:cs="Arial"/>
                <w:b/>
                <w:bCs/>
                <w:sz w:val="18"/>
                <w:szCs w:val="18"/>
              </w:rPr>
            </w:pPr>
            <w:r w:rsidRPr="00DA23C5">
              <w:rPr>
                <w:rFonts w:ascii="Verdana" w:hAnsi="Verdana" w:cs="Arial"/>
                <w:b/>
                <w:bCs/>
                <w:sz w:val="18"/>
                <w:szCs w:val="18"/>
              </w:rPr>
              <w:t>15%</w:t>
            </w:r>
          </w:p>
        </w:tc>
      </w:tr>
      <w:tr w:rsidR="00304C75" w:rsidRPr="00DA23C5" w:rsidTr="009615C6">
        <w:trPr>
          <w:trHeight w:val="51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304C75" w:rsidRPr="00DA23C5" w:rsidRDefault="00304C75" w:rsidP="00304C75">
            <w:pPr>
              <w:jc w:val="center"/>
              <w:rPr>
                <w:rFonts w:ascii="Verdana" w:hAnsi="Verdana" w:cs="Arial"/>
                <w:b/>
                <w:sz w:val="18"/>
                <w:szCs w:val="18"/>
                <w:lang w:eastAsia="it-IT"/>
              </w:rPr>
            </w:pPr>
            <w:r w:rsidRPr="00DA23C5">
              <w:rPr>
                <w:rFonts w:ascii="Verdana" w:hAnsi="Verdana" w:cs="Arial"/>
                <w:b/>
                <w:sz w:val="18"/>
                <w:szCs w:val="18"/>
                <w:lang w:eastAsia="it-IT"/>
              </w:rPr>
              <w:t>3.a</w:t>
            </w:r>
          </w:p>
        </w:tc>
        <w:tc>
          <w:tcPr>
            <w:tcW w:w="3529" w:type="dxa"/>
            <w:tcBorders>
              <w:top w:val="nil"/>
              <w:left w:val="nil"/>
              <w:bottom w:val="single" w:sz="4" w:space="0" w:color="auto"/>
              <w:right w:val="single" w:sz="4" w:space="0" w:color="auto"/>
            </w:tcBorders>
            <w:shd w:val="clear" w:color="auto" w:fill="auto"/>
            <w:vAlign w:val="bottom"/>
            <w:hideMark/>
          </w:tcPr>
          <w:p w:rsidR="00304C75" w:rsidRPr="00DA23C5" w:rsidRDefault="00304C75" w:rsidP="00304C75">
            <w:pPr>
              <w:rPr>
                <w:rFonts w:ascii="Verdana" w:hAnsi="Verdana" w:cs="Arial"/>
                <w:sz w:val="18"/>
                <w:szCs w:val="18"/>
              </w:rPr>
            </w:pPr>
            <w:r w:rsidRPr="00DA23C5">
              <w:rPr>
                <w:rFonts w:ascii="Verdana" w:hAnsi="Verdana" w:cs="Arial"/>
                <w:sz w:val="18"/>
                <w:szCs w:val="18"/>
              </w:rPr>
              <w:t> </w:t>
            </w:r>
          </w:p>
        </w:tc>
        <w:tc>
          <w:tcPr>
            <w:tcW w:w="5230" w:type="dxa"/>
            <w:gridSpan w:val="2"/>
            <w:tcBorders>
              <w:top w:val="nil"/>
              <w:left w:val="nil"/>
              <w:bottom w:val="single" w:sz="4" w:space="0" w:color="auto"/>
              <w:right w:val="single" w:sz="4" w:space="0" w:color="auto"/>
            </w:tcBorders>
            <w:shd w:val="clear" w:color="auto" w:fill="auto"/>
            <w:hideMark/>
          </w:tcPr>
          <w:p w:rsidR="00304C75" w:rsidRPr="00DA23C5" w:rsidRDefault="00304C75" w:rsidP="000329BC">
            <w:pPr>
              <w:jc w:val="both"/>
              <w:rPr>
                <w:rFonts w:ascii="Verdana" w:hAnsi="Verdana" w:cs="Arial"/>
                <w:sz w:val="18"/>
                <w:szCs w:val="18"/>
              </w:rPr>
            </w:pPr>
            <w:r w:rsidRPr="00DA23C5">
              <w:rPr>
                <w:rFonts w:ascii="Verdana" w:hAnsi="Verdana" w:cs="Arial"/>
                <w:sz w:val="18"/>
                <w:szCs w:val="18"/>
              </w:rPr>
              <w:t>Incidenza delle ordinanze di non potabilità.                       Target 0%</w:t>
            </w:r>
          </w:p>
        </w:tc>
        <w:tc>
          <w:tcPr>
            <w:tcW w:w="1139" w:type="dxa"/>
            <w:tcBorders>
              <w:top w:val="nil"/>
              <w:left w:val="nil"/>
              <w:bottom w:val="single" w:sz="4" w:space="0" w:color="auto"/>
              <w:right w:val="single" w:sz="4" w:space="0" w:color="auto"/>
            </w:tcBorders>
            <w:shd w:val="clear" w:color="auto" w:fill="auto"/>
            <w:vAlign w:val="bottom"/>
            <w:hideMark/>
          </w:tcPr>
          <w:p w:rsidR="00304C75" w:rsidRPr="00DA23C5" w:rsidRDefault="00304C75" w:rsidP="00304C75">
            <w:pPr>
              <w:jc w:val="right"/>
              <w:rPr>
                <w:rFonts w:ascii="Verdana" w:hAnsi="Verdana" w:cs="Arial"/>
                <w:sz w:val="18"/>
                <w:szCs w:val="18"/>
              </w:rPr>
            </w:pPr>
            <w:r w:rsidRPr="00DA23C5">
              <w:rPr>
                <w:rFonts w:ascii="Verdana" w:hAnsi="Verdana" w:cs="Arial"/>
                <w:sz w:val="18"/>
                <w:szCs w:val="18"/>
              </w:rPr>
              <w:t>5%</w:t>
            </w:r>
          </w:p>
        </w:tc>
      </w:tr>
      <w:tr w:rsidR="00304C75" w:rsidRPr="00DA23C5" w:rsidTr="009615C6">
        <w:trPr>
          <w:trHeight w:val="51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304C75" w:rsidRPr="00DA23C5" w:rsidRDefault="00304C75" w:rsidP="00304C75">
            <w:pPr>
              <w:jc w:val="center"/>
              <w:rPr>
                <w:rFonts w:ascii="Verdana" w:hAnsi="Verdana" w:cs="Arial"/>
                <w:b/>
                <w:sz w:val="18"/>
                <w:szCs w:val="18"/>
                <w:lang w:eastAsia="it-IT"/>
              </w:rPr>
            </w:pPr>
            <w:r w:rsidRPr="00DA23C5">
              <w:rPr>
                <w:rFonts w:ascii="Verdana" w:hAnsi="Verdana" w:cs="Arial"/>
                <w:b/>
                <w:sz w:val="18"/>
                <w:szCs w:val="18"/>
                <w:lang w:eastAsia="it-IT"/>
              </w:rPr>
              <w:t>3.b</w:t>
            </w:r>
          </w:p>
        </w:tc>
        <w:tc>
          <w:tcPr>
            <w:tcW w:w="3529" w:type="dxa"/>
            <w:tcBorders>
              <w:top w:val="nil"/>
              <w:left w:val="nil"/>
              <w:bottom w:val="single" w:sz="4" w:space="0" w:color="auto"/>
              <w:right w:val="single" w:sz="4" w:space="0" w:color="auto"/>
            </w:tcBorders>
            <w:shd w:val="clear" w:color="auto" w:fill="auto"/>
            <w:vAlign w:val="bottom"/>
            <w:hideMark/>
          </w:tcPr>
          <w:p w:rsidR="00304C75" w:rsidRPr="00DA23C5" w:rsidRDefault="00304C75" w:rsidP="00304C75">
            <w:pPr>
              <w:rPr>
                <w:rFonts w:ascii="Verdana" w:hAnsi="Verdana" w:cs="Arial"/>
                <w:sz w:val="18"/>
                <w:szCs w:val="18"/>
              </w:rPr>
            </w:pPr>
            <w:r w:rsidRPr="00DA23C5">
              <w:rPr>
                <w:rFonts w:ascii="Verdana" w:hAnsi="Verdana" w:cs="Arial"/>
                <w:sz w:val="18"/>
                <w:szCs w:val="18"/>
              </w:rPr>
              <w:t> </w:t>
            </w:r>
          </w:p>
        </w:tc>
        <w:tc>
          <w:tcPr>
            <w:tcW w:w="5230" w:type="dxa"/>
            <w:gridSpan w:val="2"/>
            <w:tcBorders>
              <w:top w:val="nil"/>
              <w:left w:val="nil"/>
              <w:bottom w:val="single" w:sz="4" w:space="0" w:color="auto"/>
              <w:right w:val="single" w:sz="4" w:space="0" w:color="auto"/>
            </w:tcBorders>
            <w:shd w:val="clear" w:color="auto" w:fill="auto"/>
            <w:hideMark/>
          </w:tcPr>
          <w:p w:rsidR="00304C75" w:rsidRPr="00DA23C5" w:rsidRDefault="00304C75" w:rsidP="000329BC">
            <w:pPr>
              <w:jc w:val="both"/>
              <w:rPr>
                <w:rFonts w:ascii="Verdana" w:hAnsi="Verdana" w:cs="Arial"/>
                <w:sz w:val="18"/>
                <w:szCs w:val="18"/>
              </w:rPr>
            </w:pPr>
            <w:r w:rsidRPr="00DA23C5">
              <w:rPr>
                <w:rFonts w:ascii="Verdana" w:hAnsi="Verdana" w:cs="Arial"/>
                <w:sz w:val="18"/>
                <w:szCs w:val="18"/>
              </w:rPr>
              <w:t>Tasso di campioni da controlli interni non conformi</w:t>
            </w:r>
            <w:r w:rsidRPr="00DA23C5">
              <w:rPr>
                <w:rFonts w:ascii="Verdana" w:hAnsi="Verdana" w:cs="Arial"/>
                <w:sz w:val="18"/>
                <w:szCs w:val="18"/>
              </w:rPr>
              <w:br/>
              <w:t>Target: valore inferiore alla media ultimo triennio</w:t>
            </w:r>
          </w:p>
        </w:tc>
        <w:tc>
          <w:tcPr>
            <w:tcW w:w="1139" w:type="dxa"/>
            <w:tcBorders>
              <w:top w:val="nil"/>
              <w:left w:val="nil"/>
              <w:bottom w:val="single" w:sz="4" w:space="0" w:color="auto"/>
              <w:right w:val="single" w:sz="4" w:space="0" w:color="auto"/>
            </w:tcBorders>
            <w:shd w:val="clear" w:color="auto" w:fill="auto"/>
            <w:vAlign w:val="bottom"/>
            <w:hideMark/>
          </w:tcPr>
          <w:p w:rsidR="00304C75" w:rsidRPr="00DA23C5" w:rsidRDefault="00304C75" w:rsidP="00304C75">
            <w:pPr>
              <w:jc w:val="right"/>
              <w:rPr>
                <w:rFonts w:ascii="Verdana" w:hAnsi="Verdana" w:cs="Arial"/>
                <w:sz w:val="18"/>
                <w:szCs w:val="18"/>
              </w:rPr>
            </w:pPr>
            <w:r w:rsidRPr="00DA23C5">
              <w:rPr>
                <w:rFonts w:ascii="Verdana" w:hAnsi="Verdana" w:cs="Arial"/>
                <w:sz w:val="18"/>
                <w:szCs w:val="18"/>
              </w:rPr>
              <w:t>5%</w:t>
            </w:r>
          </w:p>
        </w:tc>
      </w:tr>
      <w:tr w:rsidR="00304C75" w:rsidRPr="00DA23C5" w:rsidTr="009615C6">
        <w:trPr>
          <w:trHeight w:val="51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304C75" w:rsidRPr="00DA23C5" w:rsidRDefault="00304C75" w:rsidP="00304C75">
            <w:pPr>
              <w:jc w:val="center"/>
              <w:rPr>
                <w:rFonts w:ascii="Verdana" w:hAnsi="Verdana" w:cs="Arial"/>
                <w:b/>
                <w:sz w:val="18"/>
                <w:szCs w:val="18"/>
                <w:lang w:eastAsia="it-IT"/>
              </w:rPr>
            </w:pPr>
            <w:r w:rsidRPr="00DA23C5">
              <w:rPr>
                <w:rFonts w:ascii="Verdana" w:hAnsi="Verdana" w:cs="Arial"/>
                <w:b/>
                <w:sz w:val="18"/>
                <w:szCs w:val="18"/>
                <w:lang w:eastAsia="it-IT"/>
              </w:rPr>
              <w:t>3.c</w:t>
            </w:r>
          </w:p>
        </w:tc>
        <w:tc>
          <w:tcPr>
            <w:tcW w:w="3529" w:type="dxa"/>
            <w:tcBorders>
              <w:top w:val="nil"/>
              <w:left w:val="nil"/>
              <w:bottom w:val="single" w:sz="4" w:space="0" w:color="auto"/>
              <w:right w:val="single" w:sz="4" w:space="0" w:color="auto"/>
            </w:tcBorders>
            <w:shd w:val="clear" w:color="auto" w:fill="auto"/>
            <w:vAlign w:val="bottom"/>
            <w:hideMark/>
          </w:tcPr>
          <w:p w:rsidR="00304C75" w:rsidRPr="00DA23C5" w:rsidRDefault="00304C75" w:rsidP="00304C75">
            <w:pPr>
              <w:rPr>
                <w:rFonts w:ascii="Verdana" w:hAnsi="Verdana" w:cs="Arial"/>
                <w:sz w:val="18"/>
                <w:szCs w:val="18"/>
              </w:rPr>
            </w:pPr>
            <w:r w:rsidRPr="00DA23C5">
              <w:rPr>
                <w:rFonts w:ascii="Verdana" w:hAnsi="Verdana" w:cs="Arial"/>
                <w:sz w:val="18"/>
                <w:szCs w:val="18"/>
              </w:rPr>
              <w:t> </w:t>
            </w:r>
          </w:p>
        </w:tc>
        <w:tc>
          <w:tcPr>
            <w:tcW w:w="5230" w:type="dxa"/>
            <w:gridSpan w:val="2"/>
            <w:tcBorders>
              <w:top w:val="nil"/>
              <w:left w:val="nil"/>
              <w:bottom w:val="single" w:sz="4" w:space="0" w:color="auto"/>
              <w:right w:val="single" w:sz="4" w:space="0" w:color="auto"/>
            </w:tcBorders>
            <w:shd w:val="clear" w:color="auto" w:fill="auto"/>
            <w:hideMark/>
          </w:tcPr>
          <w:p w:rsidR="00304C75" w:rsidRPr="00DA23C5" w:rsidRDefault="00304C75" w:rsidP="000329BC">
            <w:pPr>
              <w:jc w:val="both"/>
              <w:rPr>
                <w:rFonts w:ascii="Verdana" w:hAnsi="Verdana" w:cs="Arial"/>
                <w:sz w:val="18"/>
                <w:szCs w:val="18"/>
              </w:rPr>
            </w:pPr>
            <w:r w:rsidRPr="00DA23C5">
              <w:rPr>
                <w:rFonts w:ascii="Verdana" w:hAnsi="Verdana" w:cs="Arial"/>
                <w:sz w:val="18"/>
                <w:szCs w:val="18"/>
              </w:rPr>
              <w:t>Tasso di parametri da controlli interni non conformi</w:t>
            </w:r>
            <w:r w:rsidRPr="00DA23C5">
              <w:rPr>
                <w:rFonts w:ascii="Verdana" w:hAnsi="Verdana" w:cs="Arial"/>
                <w:sz w:val="18"/>
                <w:szCs w:val="18"/>
              </w:rPr>
              <w:br/>
              <w:t>Target: valore inferiore alla media ultimo triennio</w:t>
            </w:r>
          </w:p>
        </w:tc>
        <w:tc>
          <w:tcPr>
            <w:tcW w:w="1139" w:type="dxa"/>
            <w:tcBorders>
              <w:top w:val="nil"/>
              <w:left w:val="nil"/>
              <w:bottom w:val="single" w:sz="4" w:space="0" w:color="auto"/>
              <w:right w:val="single" w:sz="4" w:space="0" w:color="auto"/>
            </w:tcBorders>
            <w:shd w:val="clear" w:color="auto" w:fill="auto"/>
            <w:vAlign w:val="bottom"/>
            <w:hideMark/>
          </w:tcPr>
          <w:p w:rsidR="00304C75" w:rsidRPr="00DA23C5" w:rsidRDefault="00304C75" w:rsidP="00304C75">
            <w:pPr>
              <w:jc w:val="right"/>
              <w:rPr>
                <w:rFonts w:ascii="Verdana" w:hAnsi="Verdana" w:cs="Arial"/>
                <w:sz w:val="18"/>
                <w:szCs w:val="18"/>
              </w:rPr>
            </w:pPr>
            <w:r w:rsidRPr="00DA23C5">
              <w:rPr>
                <w:rFonts w:ascii="Verdana" w:hAnsi="Verdana" w:cs="Arial"/>
                <w:sz w:val="18"/>
                <w:szCs w:val="18"/>
              </w:rPr>
              <w:t>5%</w:t>
            </w:r>
          </w:p>
        </w:tc>
      </w:tr>
      <w:tr w:rsidR="00304C75" w:rsidRPr="00DA23C5" w:rsidTr="009615C6">
        <w:trPr>
          <w:trHeight w:val="1841"/>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304C75" w:rsidRPr="00DA23C5" w:rsidRDefault="00304C75" w:rsidP="00304C75">
            <w:pPr>
              <w:jc w:val="center"/>
              <w:rPr>
                <w:rFonts w:ascii="Verdana" w:hAnsi="Verdana" w:cs="Arial"/>
                <w:b/>
                <w:sz w:val="18"/>
                <w:szCs w:val="18"/>
                <w:lang w:eastAsia="it-IT"/>
              </w:rPr>
            </w:pPr>
            <w:r w:rsidRPr="00DA23C5">
              <w:rPr>
                <w:rFonts w:ascii="Verdana" w:hAnsi="Verdana" w:cs="Arial"/>
                <w:b/>
                <w:sz w:val="18"/>
                <w:szCs w:val="18"/>
                <w:lang w:eastAsia="it-IT"/>
              </w:rPr>
              <w:t>4</w:t>
            </w:r>
          </w:p>
        </w:tc>
        <w:tc>
          <w:tcPr>
            <w:tcW w:w="3529" w:type="dxa"/>
            <w:tcBorders>
              <w:top w:val="nil"/>
              <w:left w:val="nil"/>
              <w:bottom w:val="single" w:sz="4" w:space="0" w:color="auto"/>
              <w:right w:val="single" w:sz="4" w:space="0" w:color="auto"/>
            </w:tcBorders>
            <w:shd w:val="clear" w:color="auto" w:fill="auto"/>
            <w:hideMark/>
          </w:tcPr>
          <w:p w:rsidR="00304C75" w:rsidRPr="00452040" w:rsidRDefault="00304C75" w:rsidP="00452040">
            <w:pPr>
              <w:jc w:val="both"/>
              <w:rPr>
                <w:rFonts w:ascii="Verdana" w:hAnsi="Verdana" w:cs="Arial"/>
                <w:bCs/>
                <w:sz w:val="18"/>
                <w:szCs w:val="18"/>
                <w:lang w:eastAsia="it-IT"/>
              </w:rPr>
            </w:pPr>
            <w:r w:rsidRPr="00452040">
              <w:rPr>
                <w:rFonts w:ascii="Verdana" w:hAnsi="Verdana" w:cs="Arial"/>
                <w:bCs/>
                <w:sz w:val="18"/>
                <w:szCs w:val="18"/>
              </w:rPr>
              <w:t xml:space="preserve">Aggiornamento e avanzamento del "Progetto di incorporazione in Romagna Acque - Società delle Fonti S.p.A. di tutti gli </w:t>
            </w:r>
            <w:proofErr w:type="spellStart"/>
            <w:r w:rsidRPr="00452040">
              <w:rPr>
                <w:rFonts w:ascii="Verdana" w:hAnsi="Verdana" w:cs="Arial"/>
                <w:bCs/>
                <w:sz w:val="18"/>
                <w:szCs w:val="18"/>
              </w:rPr>
              <w:t>asset</w:t>
            </w:r>
            <w:proofErr w:type="spellEnd"/>
            <w:r w:rsidRPr="00452040">
              <w:rPr>
                <w:rFonts w:ascii="Verdana" w:hAnsi="Verdana" w:cs="Arial"/>
                <w:bCs/>
                <w:sz w:val="18"/>
                <w:szCs w:val="18"/>
              </w:rPr>
              <w:t xml:space="preserve"> del ciclo idrico della Romagna non iscritti al patrimonio del gestore del SII" a seguito di riscontro da parte di ARERA in relazione alla "motivata istanza" presentata da ATERSIR con deliberazione n. 18/2021</w:t>
            </w:r>
          </w:p>
        </w:tc>
        <w:tc>
          <w:tcPr>
            <w:tcW w:w="5230" w:type="dxa"/>
            <w:gridSpan w:val="2"/>
            <w:tcBorders>
              <w:top w:val="nil"/>
              <w:left w:val="nil"/>
              <w:bottom w:val="single" w:sz="4" w:space="0" w:color="auto"/>
              <w:right w:val="single" w:sz="4" w:space="0" w:color="auto"/>
            </w:tcBorders>
            <w:shd w:val="clear" w:color="auto" w:fill="auto"/>
            <w:vAlign w:val="bottom"/>
            <w:hideMark/>
          </w:tcPr>
          <w:p w:rsidR="00304C75" w:rsidRPr="00DA23C5" w:rsidRDefault="00304C75" w:rsidP="00304C75">
            <w:pPr>
              <w:jc w:val="right"/>
              <w:rPr>
                <w:rFonts w:ascii="Verdana" w:hAnsi="Verdana" w:cs="Arial"/>
                <w:sz w:val="18"/>
                <w:szCs w:val="18"/>
              </w:rPr>
            </w:pPr>
            <w:r w:rsidRPr="00DA23C5">
              <w:rPr>
                <w:rFonts w:ascii="Verdana" w:hAnsi="Verdana" w:cs="Arial"/>
                <w:sz w:val="18"/>
                <w:szCs w:val="18"/>
              </w:rPr>
              <w:t> </w:t>
            </w:r>
          </w:p>
        </w:tc>
        <w:tc>
          <w:tcPr>
            <w:tcW w:w="1139" w:type="dxa"/>
            <w:tcBorders>
              <w:top w:val="nil"/>
              <w:left w:val="nil"/>
              <w:bottom w:val="single" w:sz="4" w:space="0" w:color="auto"/>
              <w:right w:val="single" w:sz="4" w:space="0" w:color="auto"/>
            </w:tcBorders>
            <w:shd w:val="clear" w:color="auto" w:fill="auto"/>
            <w:hideMark/>
          </w:tcPr>
          <w:p w:rsidR="00304C75" w:rsidRPr="00DA23C5" w:rsidRDefault="00304C75" w:rsidP="00304C75">
            <w:pPr>
              <w:rPr>
                <w:rFonts w:ascii="Verdana" w:hAnsi="Verdana" w:cs="Arial"/>
                <w:b/>
                <w:bCs/>
                <w:sz w:val="18"/>
                <w:szCs w:val="18"/>
              </w:rPr>
            </w:pPr>
            <w:r w:rsidRPr="00DA23C5">
              <w:rPr>
                <w:rFonts w:ascii="Verdana" w:hAnsi="Verdana" w:cs="Arial"/>
                <w:b/>
                <w:bCs/>
                <w:sz w:val="18"/>
                <w:szCs w:val="18"/>
              </w:rPr>
              <w:t>20%</w:t>
            </w:r>
          </w:p>
        </w:tc>
      </w:tr>
      <w:tr w:rsidR="00304C75" w:rsidRPr="00DA23C5" w:rsidTr="009615C6">
        <w:trPr>
          <w:trHeight w:val="51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304C75" w:rsidRPr="00DA23C5" w:rsidRDefault="00CB7457" w:rsidP="00304C75">
            <w:pPr>
              <w:jc w:val="center"/>
              <w:rPr>
                <w:rFonts w:ascii="Verdana" w:hAnsi="Verdana" w:cs="Arial"/>
                <w:b/>
                <w:sz w:val="18"/>
                <w:szCs w:val="18"/>
                <w:lang w:eastAsia="it-IT"/>
              </w:rPr>
            </w:pPr>
            <w:r w:rsidRPr="00DA23C5">
              <w:rPr>
                <w:rFonts w:ascii="Verdana" w:hAnsi="Verdana" w:cs="Arial"/>
                <w:b/>
                <w:sz w:val="18"/>
                <w:szCs w:val="18"/>
                <w:lang w:eastAsia="it-IT"/>
              </w:rPr>
              <w:t>4</w:t>
            </w:r>
            <w:r w:rsidR="00304C75" w:rsidRPr="00DA23C5">
              <w:rPr>
                <w:rFonts w:ascii="Verdana" w:hAnsi="Verdana" w:cs="Arial"/>
                <w:b/>
                <w:sz w:val="18"/>
                <w:szCs w:val="18"/>
                <w:lang w:eastAsia="it-IT"/>
              </w:rPr>
              <w:t>.a</w:t>
            </w:r>
          </w:p>
        </w:tc>
        <w:tc>
          <w:tcPr>
            <w:tcW w:w="3529" w:type="dxa"/>
            <w:tcBorders>
              <w:top w:val="nil"/>
              <w:left w:val="nil"/>
              <w:bottom w:val="single" w:sz="4" w:space="0" w:color="auto"/>
              <w:right w:val="single" w:sz="4" w:space="0" w:color="auto"/>
            </w:tcBorders>
            <w:shd w:val="clear" w:color="auto" w:fill="auto"/>
            <w:vAlign w:val="bottom"/>
            <w:hideMark/>
          </w:tcPr>
          <w:p w:rsidR="00304C75" w:rsidRPr="00DA23C5" w:rsidRDefault="00304C75" w:rsidP="00304C75">
            <w:pPr>
              <w:rPr>
                <w:rFonts w:ascii="Verdana" w:hAnsi="Verdana" w:cs="Arial"/>
                <w:sz w:val="18"/>
                <w:szCs w:val="18"/>
              </w:rPr>
            </w:pPr>
            <w:r w:rsidRPr="00DA23C5">
              <w:rPr>
                <w:rFonts w:ascii="Verdana" w:hAnsi="Verdana" w:cs="Arial"/>
                <w:sz w:val="18"/>
                <w:szCs w:val="18"/>
              </w:rPr>
              <w:t> </w:t>
            </w:r>
          </w:p>
        </w:tc>
        <w:tc>
          <w:tcPr>
            <w:tcW w:w="5230" w:type="dxa"/>
            <w:gridSpan w:val="2"/>
            <w:tcBorders>
              <w:top w:val="nil"/>
              <w:left w:val="nil"/>
              <w:bottom w:val="single" w:sz="4" w:space="0" w:color="auto"/>
              <w:right w:val="single" w:sz="4" w:space="0" w:color="auto"/>
            </w:tcBorders>
            <w:shd w:val="clear" w:color="auto" w:fill="auto"/>
            <w:vAlign w:val="bottom"/>
            <w:hideMark/>
          </w:tcPr>
          <w:p w:rsidR="00304C75" w:rsidRPr="00DA23C5" w:rsidRDefault="00304C75" w:rsidP="000329BC">
            <w:pPr>
              <w:jc w:val="both"/>
              <w:rPr>
                <w:rFonts w:ascii="Verdana" w:hAnsi="Verdana" w:cs="Arial"/>
                <w:sz w:val="18"/>
                <w:szCs w:val="18"/>
                <w:lang w:eastAsia="it-IT"/>
              </w:rPr>
            </w:pPr>
            <w:r w:rsidRPr="00DA23C5">
              <w:rPr>
                <w:rFonts w:ascii="Verdana" w:hAnsi="Verdana" w:cs="Arial"/>
                <w:sz w:val="18"/>
                <w:szCs w:val="18"/>
              </w:rPr>
              <w:t>Definizione del perimetro di conferimento. Simulazione dei conti economici e dei flussi di cassa</w:t>
            </w:r>
          </w:p>
        </w:tc>
        <w:tc>
          <w:tcPr>
            <w:tcW w:w="1139" w:type="dxa"/>
            <w:tcBorders>
              <w:top w:val="nil"/>
              <w:left w:val="nil"/>
              <w:bottom w:val="single" w:sz="4" w:space="0" w:color="auto"/>
              <w:right w:val="single" w:sz="4" w:space="0" w:color="auto"/>
            </w:tcBorders>
            <w:shd w:val="clear" w:color="auto" w:fill="auto"/>
            <w:hideMark/>
          </w:tcPr>
          <w:p w:rsidR="00304C75" w:rsidRPr="00DA23C5" w:rsidRDefault="00304C75" w:rsidP="00304C75">
            <w:pPr>
              <w:jc w:val="right"/>
              <w:rPr>
                <w:rFonts w:ascii="Verdana" w:hAnsi="Verdana" w:cs="Arial"/>
                <w:bCs/>
                <w:sz w:val="18"/>
                <w:szCs w:val="18"/>
              </w:rPr>
            </w:pPr>
            <w:r w:rsidRPr="00DA23C5">
              <w:rPr>
                <w:rFonts w:ascii="Verdana" w:hAnsi="Verdana" w:cs="Arial"/>
                <w:bCs/>
                <w:sz w:val="18"/>
                <w:szCs w:val="18"/>
              </w:rPr>
              <w:t>10%</w:t>
            </w:r>
          </w:p>
        </w:tc>
      </w:tr>
      <w:tr w:rsidR="00304C75" w:rsidRPr="00DA23C5" w:rsidTr="009615C6">
        <w:trPr>
          <w:trHeight w:val="259"/>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304C75" w:rsidRPr="00DA23C5" w:rsidRDefault="00CB7457" w:rsidP="00304C75">
            <w:pPr>
              <w:jc w:val="center"/>
              <w:rPr>
                <w:rFonts w:ascii="Verdana" w:hAnsi="Verdana" w:cs="Arial"/>
                <w:b/>
                <w:sz w:val="18"/>
                <w:szCs w:val="18"/>
                <w:lang w:eastAsia="it-IT"/>
              </w:rPr>
            </w:pPr>
            <w:r w:rsidRPr="00DA23C5">
              <w:rPr>
                <w:rFonts w:ascii="Verdana" w:hAnsi="Verdana" w:cs="Arial"/>
                <w:b/>
                <w:sz w:val="18"/>
                <w:szCs w:val="18"/>
                <w:lang w:eastAsia="it-IT"/>
              </w:rPr>
              <w:t>4</w:t>
            </w:r>
            <w:r w:rsidR="00304C75" w:rsidRPr="00DA23C5">
              <w:rPr>
                <w:rFonts w:ascii="Verdana" w:hAnsi="Verdana" w:cs="Arial"/>
                <w:b/>
                <w:sz w:val="18"/>
                <w:szCs w:val="18"/>
                <w:lang w:eastAsia="it-IT"/>
              </w:rPr>
              <w:t>.b</w:t>
            </w:r>
          </w:p>
        </w:tc>
        <w:tc>
          <w:tcPr>
            <w:tcW w:w="3529" w:type="dxa"/>
            <w:tcBorders>
              <w:top w:val="nil"/>
              <w:left w:val="nil"/>
              <w:bottom w:val="single" w:sz="4" w:space="0" w:color="auto"/>
              <w:right w:val="single" w:sz="4" w:space="0" w:color="auto"/>
            </w:tcBorders>
            <w:shd w:val="clear" w:color="auto" w:fill="auto"/>
            <w:vAlign w:val="bottom"/>
            <w:hideMark/>
          </w:tcPr>
          <w:p w:rsidR="00304C75" w:rsidRPr="00DA23C5" w:rsidRDefault="00304C75" w:rsidP="00304C75">
            <w:pPr>
              <w:rPr>
                <w:rFonts w:ascii="Verdana" w:hAnsi="Verdana" w:cs="Arial"/>
                <w:sz w:val="18"/>
                <w:szCs w:val="18"/>
              </w:rPr>
            </w:pPr>
            <w:r w:rsidRPr="00DA23C5">
              <w:rPr>
                <w:rFonts w:ascii="Verdana" w:hAnsi="Verdana" w:cs="Arial"/>
                <w:sz w:val="18"/>
                <w:szCs w:val="18"/>
              </w:rPr>
              <w:t> </w:t>
            </w:r>
          </w:p>
        </w:tc>
        <w:tc>
          <w:tcPr>
            <w:tcW w:w="5230" w:type="dxa"/>
            <w:gridSpan w:val="2"/>
            <w:tcBorders>
              <w:top w:val="nil"/>
              <w:left w:val="nil"/>
              <w:bottom w:val="single" w:sz="4" w:space="0" w:color="auto"/>
              <w:right w:val="single" w:sz="4" w:space="0" w:color="auto"/>
            </w:tcBorders>
            <w:shd w:val="clear" w:color="auto" w:fill="auto"/>
            <w:vAlign w:val="bottom"/>
            <w:hideMark/>
          </w:tcPr>
          <w:p w:rsidR="00304C75" w:rsidRPr="00DA23C5" w:rsidRDefault="00304C75" w:rsidP="000329BC">
            <w:pPr>
              <w:jc w:val="both"/>
              <w:rPr>
                <w:rFonts w:ascii="Verdana" w:hAnsi="Verdana" w:cs="Arial"/>
                <w:sz w:val="18"/>
                <w:szCs w:val="18"/>
              </w:rPr>
            </w:pPr>
            <w:r w:rsidRPr="00DA23C5">
              <w:rPr>
                <w:rFonts w:ascii="Verdana" w:hAnsi="Verdana" w:cs="Arial"/>
                <w:sz w:val="18"/>
                <w:szCs w:val="18"/>
              </w:rPr>
              <w:t xml:space="preserve">Valutazione patrimoniale degli </w:t>
            </w:r>
            <w:proofErr w:type="spellStart"/>
            <w:r w:rsidRPr="00DA23C5">
              <w:rPr>
                <w:rFonts w:ascii="Verdana" w:hAnsi="Verdana" w:cs="Arial"/>
                <w:sz w:val="18"/>
                <w:szCs w:val="18"/>
              </w:rPr>
              <w:t>assets</w:t>
            </w:r>
            <w:proofErr w:type="spellEnd"/>
            <w:r w:rsidRPr="00DA23C5">
              <w:rPr>
                <w:rFonts w:ascii="Verdana" w:hAnsi="Verdana" w:cs="Arial"/>
                <w:sz w:val="18"/>
                <w:szCs w:val="18"/>
              </w:rPr>
              <w:t xml:space="preserve"> da conferire</w:t>
            </w:r>
          </w:p>
        </w:tc>
        <w:tc>
          <w:tcPr>
            <w:tcW w:w="1139" w:type="dxa"/>
            <w:tcBorders>
              <w:top w:val="nil"/>
              <w:left w:val="nil"/>
              <w:bottom w:val="single" w:sz="4" w:space="0" w:color="auto"/>
              <w:right w:val="single" w:sz="4" w:space="0" w:color="auto"/>
            </w:tcBorders>
            <w:shd w:val="clear" w:color="auto" w:fill="auto"/>
            <w:hideMark/>
          </w:tcPr>
          <w:p w:rsidR="00304C75" w:rsidRPr="00DA23C5" w:rsidRDefault="00304C75" w:rsidP="00304C75">
            <w:pPr>
              <w:jc w:val="right"/>
              <w:rPr>
                <w:rFonts w:ascii="Verdana" w:hAnsi="Verdana" w:cs="Arial"/>
                <w:bCs/>
                <w:sz w:val="18"/>
                <w:szCs w:val="18"/>
              </w:rPr>
            </w:pPr>
            <w:r w:rsidRPr="00DA23C5">
              <w:rPr>
                <w:rFonts w:ascii="Verdana" w:hAnsi="Verdana" w:cs="Arial"/>
                <w:bCs/>
                <w:sz w:val="18"/>
                <w:szCs w:val="18"/>
              </w:rPr>
              <w:t>5%</w:t>
            </w:r>
          </w:p>
        </w:tc>
      </w:tr>
      <w:tr w:rsidR="00304C75" w:rsidRPr="00DA23C5" w:rsidTr="009615C6">
        <w:trPr>
          <w:trHeight w:val="51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304C75" w:rsidRPr="00DA23C5" w:rsidRDefault="00CB7457" w:rsidP="00304C75">
            <w:pPr>
              <w:jc w:val="center"/>
              <w:rPr>
                <w:rFonts w:ascii="Verdana" w:hAnsi="Verdana" w:cs="Arial"/>
                <w:b/>
                <w:sz w:val="18"/>
                <w:szCs w:val="18"/>
                <w:lang w:eastAsia="it-IT"/>
              </w:rPr>
            </w:pPr>
            <w:r w:rsidRPr="00DA23C5">
              <w:rPr>
                <w:rFonts w:ascii="Verdana" w:hAnsi="Verdana" w:cs="Arial"/>
                <w:b/>
                <w:sz w:val="18"/>
                <w:szCs w:val="18"/>
                <w:lang w:eastAsia="it-IT"/>
              </w:rPr>
              <w:t>4</w:t>
            </w:r>
            <w:r w:rsidR="00304C75" w:rsidRPr="00DA23C5">
              <w:rPr>
                <w:rFonts w:ascii="Verdana" w:hAnsi="Verdana" w:cs="Arial"/>
                <w:b/>
                <w:sz w:val="18"/>
                <w:szCs w:val="18"/>
                <w:lang w:eastAsia="it-IT"/>
              </w:rPr>
              <w:t>.c</w:t>
            </w:r>
          </w:p>
        </w:tc>
        <w:tc>
          <w:tcPr>
            <w:tcW w:w="3529" w:type="dxa"/>
            <w:tcBorders>
              <w:top w:val="nil"/>
              <w:left w:val="nil"/>
              <w:bottom w:val="single" w:sz="4" w:space="0" w:color="auto"/>
              <w:right w:val="single" w:sz="4" w:space="0" w:color="auto"/>
            </w:tcBorders>
            <w:shd w:val="clear" w:color="auto" w:fill="auto"/>
            <w:vAlign w:val="bottom"/>
            <w:hideMark/>
          </w:tcPr>
          <w:p w:rsidR="00304C75" w:rsidRPr="00DA23C5" w:rsidRDefault="00304C75" w:rsidP="00304C75">
            <w:pPr>
              <w:rPr>
                <w:rFonts w:ascii="Verdana" w:hAnsi="Verdana" w:cs="Arial"/>
                <w:sz w:val="18"/>
                <w:szCs w:val="18"/>
              </w:rPr>
            </w:pPr>
            <w:r w:rsidRPr="00DA23C5">
              <w:rPr>
                <w:rFonts w:ascii="Verdana" w:hAnsi="Verdana" w:cs="Arial"/>
                <w:sz w:val="18"/>
                <w:szCs w:val="18"/>
              </w:rPr>
              <w:t> </w:t>
            </w:r>
          </w:p>
        </w:tc>
        <w:tc>
          <w:tcPr>
            <w:tcW w:w="5230" w:type="dxa"/>
            <w:gridSpan w:val="2"/>
            <w:tcBorders>
              <w:top w:val="nil"/>
              <w:left w:val="nil"/>
              <w:bottom w:val="single" w:sz="4" w:space="0" w:color="auto"/>
              <w:right w:val="single" w:sz="4" w:space="0" w:color="auto"/>
            </w:tcBorders>
            <w:shd w:val="clear" w:color="auto" w:fill="auto"/>
            <w:vAlign w:val="bottom"/>
            <w:hideMark/>
          </w:tcPr>
          <w:p w:rsidR="00304C75" w:rsidRPr="00DA23C5" w:rsidRDefault="00304C75" w:rsidP="000329BC">
            <w:pPr>
              <w:jc w:val="both"/>
              <w:rPr>
                <w:rFonts w:ascii="Verdana" w:hAnsi="Verdana" w:cs="Arial"/>
                <w:sz w:val="18"/>
                <w:szCs w:val="18"/>
              </w:rPr>
            </w:pPr>
            <w:r w:rsidRPr="00DA23C5">
              <w:rPr>
                <w:rFonts w:ascii="Verdana" w:hAnsi="Verdana" w:cs="Arial"/>
                <w:sz w:val="18"/>
                <w:szCs w:val="18"/>
              </w:rPr>
              <w:t>Modello attribuzione azioni e valutazione del rapporto di cambio</w:t>
            </w:r>
          </w:p>
        </w:tc>
        <w:tc>
          <w:tcPr>
            <w:tcW w:w="1139" w:type="dxa"/>
            <w:tcBorders>
              <w:top w:val="nil"/>
              <w:left w:val="nil"/>
              <w:bottom w:val="single" w:sz="4" w:space="0" w:color="auto"/>
              <w:right w:val="single" w:sz="4" w:space="0" w:color="auto"/>
            </w:tcBorders>
            <w:shd w:val="clear" w:color="auto" w:fill="auto"/>
            <w:hideMark/>
          </w:tcPr>
          <w:p w:rsidR="00304C75" w:rsidRPr="00DA23C5" w:rsidRDefault="00304C75" w:rsidP="00304C75">
            <w:pPr>
              <w:jc w:val="right"/>
              <w:rPr>
                <w:rFonts w:ascii="Verdana" w:hAnsi="Verdana" w:cs="Arial"/>
                <w:bCs/>
                <w:sz w:val="18"/>
                <w:szCs w:val="18"/>
              </w:rPr>
            </w:pPr>
            <w:r w:rsidRPr="00DA23C5">
              <w:rPr>
                <w:rFonts w:ascii="Verdana" w:hAnsi="Verdana" w:cs="Arial"/>
                <w:bCs/>
                <w:sz w:val="18"/>
                <w:szCs w:val="18"/>
              </w:rPr>
              <w:t>5%</w:t>
            </w:r>
          </w:p>
        </w:tc>
      </w:tr>
      <w:tr w:rsidR="007416AD" w:rsidRPr="00DA23C5" w:rsidTr="009615C6">
        <w:trPr>
          <w:trHeight w:val="886"/>
        </w:trPr>
        <w:tc>
          <w:tcPr>
            <w:tcW w:w="592" w:type="dxa"/>
            <w:tcBorders>
              <w:top w:val="nil"/>
              <w:left w:val="single" w:sz="4" w:space="0" w:color="auto"/>
              <w:bottom w:val="single" w:sz="4" w:space="0" w:color="auto"/>
              <w:right w:val="single" w:sz="4" w:space="0" w:color="auto"/>
            </w:tcBorders>
            <w:shd w:val="clear" w:color="auto" w:fill="auto"/>
            <w:hideMark/>
          </w:tcPr>
          <w:p w:rsidR="007416AD" w:rsidRPr="00DA23C5" w:rsidRDefault="007416AD" w:rsidP="007416AD">
            <w:pPr>
              <w:rPr>
                <w:rFonts w:ascii="Verdana" w:hAnsi="Verdana" w:cs="Arial"/>
                <w:b/>
                <w:bCs/>
                <w:sz w:val="18"/>
                <w:szCs w:val="18"/>
                <w:lang w:eastAsia="it-IT"/>
              </w:rPr>
            </w:pPr>
            <w:r w:rsidRPr="00DA23C5">
              <w:rPr>
                <w:rFonts w:ascii="Verdana" w:hAnsi="Verdana" w:cs="Arial"/>
                <w:b/>
                <w:bCs/>
                <w:sz w:val="18"/>
                <w:szCs w:val="18"/>
              </w:rPr>
              <w:t>5</w:t>
            </w:r>
          </w:p>
        </w:tc>
        <w:tc>
          <w:tcPr>
            <w:tcW w:w="3529" w:type="dxa"/>
            <w:tcBorders>
              <w:top w:val="nil"/>
              <w:left w:val="nil"/>
              <w:bottom w:val="single" w:sz="4" w:space="0" w:color="auto"/>
              <w:right w:val="single" w:sz="4" w:space="0" w:color="auto"/>
            </w:tcBorders>
            <w:shd w:val="clear" w:color="auto" w:fill="auto"/>
            <w:hideMark/>
          </w:tcPr>
          <w:p w:rsidR="007416AD" w:rsidRPr="000329BC" w:rsidRDefault="007416AD" w:rsidP="000329BC">
            <w:pPr>
              <w:jc w:val="both"/>
              <w:rPr>
                <w:rFonts w:ascii="Verdana" w:hAnsi="Verdana" w:cs="Arial"/>
                <w:bCs/>
                <w:sz w:val="18"/>
                <w:szCs w:val="18"/>
              </w:rPr>
            </w:pPr>
            <w:r w:rsidRPr="000329BC">
              <w:rPr>
                <w:rFonts w:ascii="Verdana" w:hAnsi="Verdana" w:cs="Arial"/>
                <w:bCs/>
                <w:sz w:val="18"/>
                <w:szCs w:val="18"/>
              </w:rPr>
              <w:t xml:space="preserve">Sviluppo di studi ed ipotesi di intervento e valutazione delle alternative progettuali finalizzate al miglioramento approvvigionamento idropotabile del sistema Acquedotto </w:t>
            </w:r>
            <w:r w:rsidRPr="000329BC">
              <w:rPr>
                <w:rFonts w:ascii="Verdana" w:hAnsi="Verdana" w:cs="Arial"/>
                <w:bCs/>
                <w:sz w:val="18"/>
                <w:szCs w:val="18"/>
              </w:rPr>
              <w:lastRenderedPageBreak/>
              <w:t xml:space="preserve">della Romagna, con particolare riferimento alle azioni di lungo periodo, finalizzato all'aumento della resilienza del sistema acquedottistico per mitigare gli effetti derivanti dal cambiamento climatico globale, con riferimento ai seguenti temi: 1. </w:t>
            </w:r>
            <w:proofErr w:type="gramStart"/>
            <w:r w:rsidRPr="000329BC">
              <w:rPr>
                <w:rFonts w:ascii="Verdana" w:hAnsi="Verdana" w:cs="Arial"/>
                <w:bCs/>
                <w:sz w:val="18"/>
                <w:szCs w:val="18"/>
              </w:rPr>
              <w:t>prolungamento</w:t>
            </w:r>
            <w:proofErr w:type="gramEnd"/>
            <w:r w:rsidRPr="000329BC">
              <w:rPr>
                <w:rFonts w:ascii="Verdana" w:hAnsi="Verdana" w:cs="Arial"/>
                <w:bCs/>
                <w:sz w:val="18"/>
                <w:szCs w:val="18"/>
              </w:rPr>
              <w:t xml:space="preserve"> </w:t>
            </w:r>
            <w:r w:rsidR="00AB44DD" w:rsidRPr="000329BC">
              <w:rPr>
                <w:rFonts w:ascii="Verdana" w:hAnsi="Verdana" w:cs="Arial"/>
                <w:bCs/>
                <w:sz w:val="18"/>
                <w:szCs w:val="18"/>
              </w:rPr>
              <w:t>g</w:t>
            </w:r>
            <w:r w:rsidRPr="000329BC">
              <w:rPr>
                <w:rFonts w:ascii="Verdana" w:hAnsi="Verdana" w:cs="Arial"/>
                <w:bCs/>
                <w:sz w:val="18"/>
                <w:szCs w:val="18"/>
              </w:rPr>
              <w:t xml:space="preserve">alleria di gronda e nuovo invaso; 2. </w:t>
            </w:r>
            <w:proofErr w:type="gramStart"/>
            <w:r w:rsidR="000666A1" w:rsidRPr="000329BC">
              <w:rPr>
                <w:rFonts w:ascii="Verdana" w:hAnsi="Verdana" w:cs="Arial"/>
                <w:bCs/>
                <w:sz w:val="18"/>
                <w:szCs w:val="18"/>
              </w:rPr>
              <w:t>a</w:t>
            </w:r>
            <w:r w:rsidRPr="000329BC">
              <w:rPr>
                <w:rFonts w:ascii="Verdana" w:hAnsi="Verdana" w:cs="Arial"/>
                <w:bCs/>
                <w:sz w:val="18"/>
                <w:szCs w:val="18"/>
              </w:rPr>
              <w:t>pprovvigionamento</w:t>
            </w:r>
            <w:proofErr w:type="gramEnd"/>
            <w:r w:rsidRPr="000329BC">
              <w:rPr>
                <w:rFonts w:ascii="Verdana" w:hAnsi="Verdana" w:cs="Arial"/>
                <w:bCs/>
                <w:sz w:val="18"/>
                <w:szCs w:val="18"/>
              </w:rPr>
              <w:t xml:space="preserve"> idrico Rimini sud e utilizzo acqua del CER; 3. </w:t>
            </w:r>
            <w:proofErr w:type="spellStart"/>
            <w:proofErr w:type="gramStart"/>
            <w:r w:rsidR="000666A1" w:rsidRPr="000329BC">
              <w:rPr>
                <w:rFonts w:ascii="Verdana" w:hAnsi="Verdana" w:cs="Arial"/>
                <w:bCs/>
                <w:sz w:val="18"/>
                <w:szCs w:val="18"/>
              </w:rPr>
              <w:t>a</w:t>
            </w:r>
            <w:r w:rsidRPr="000329BC">
              <w:rPr>
                <w:rFonts w:ascii="Verdana" w:hAnsi="Verdana" w:cs="Arial"/>
                <w:bCs/>
                <w:sz w:val="18"/>
                <w:szCs w:val="18"/>
              </w:rPr>
              <w:t>provvigionamento</w:t>
            </w:r>
            <w:proofErr w:type="spellEnd"/>
            <w:proofErr w:type="gramEnd"/>
            <w:r w:rsidRPr="000329BC">
              <w:rPr>
                <w:rFonts w:ascii="Verdana" w:hAnsi="Verdana" w:cs="Arial"/>
                <w:bCs/>
                <w:sz w:val="18"/>
                <w:szCs w:val="18"/>
              </w:rPr>
              <w:t xml:space="preserve"> idrico Rimini sud e potenziamento acquedotto del Conca, collegamento alla diga di Mercatale; 4. </w:t>
            </w:r>
            <w:proofErr w:type="gramStart"/>
            <w:r w:rsidRPr="000329BC">
              <w:rPr>
                <w:rFonts w:ascii="Verdana" w:hAnsi="Verdana" w:cs="Arial"/>
                <w:bCs/>
                <w:sz w:val="18"/>
                <w:szCs w:val="18"/>
              </w:rPr>
              <w:t>studio</w:t>
            </w:r>
            <w:proofErr w:type="gramEnd"/>
            <w:r w:rsidRPr="000329BC">
              <w:rPr>
                <w:rFonts w:ascii="Verdana" w:hAnsi="Verdana" w:cs="Arial"/>
                <w:bCs/>
                <w:sz w:val="18"/>
                <w:szCs w:val="18"/>
              </w:rPr>
              <w:t xml:space="preserve"> altre fonti: 4.1. </w:t>
            </w:r>
            <w:proofErr w:type="gramStart"/>
            <w:r w:rsidRPr="000329BC">
              <w:rPr>
                <w:rFonts w:ascii="Verdana" w:hAnsi="Verdana" w:cs="Arial"/>
                <w:bCs/>
                <w:sz w:val="18"/>
                <w:szCs w:val="18"/>
              </w:rPr>
              <w:t>riusi</w:t>
            </w:r>
            <w:proofErr w:type="gramEnd"/>
            <w:r w:rsidRPr="000329BC">
              <w:rPr>
                <w:rFonts w:ascii="Verdana" w:hAnsi="Verdana" w:cs="Arial"/>
                <w:bCs/>
                <w:sz w:val="18"/>
                <w:szCs w:val="18"/>
              </w:rPr>
              <w:t xml:space="preserve"> 4.2. </w:t>
            </w:r>
            <w:proofErr w:type="gramStart"/>
            <w:r w:rsidRPr="000329BC">
              <w:rPr>
                <w:rFonts w:ascii="Verdana" w:hAnsi="Verdana" w:cs="Arial"/>
                <w:bCs/>
                <w:sz w:val="18"/>
                <w:szCs w:val="18"/>
              </w:rPr>
              <w:t>dissalazione</w:t>
            </w:r>
            <w:proofErr w:type="gramEnd"/>
          </w:p>
        </w:tc>
        <w:tc>
          <w:tcPr>
            <w:tcW w:w="5230" w:type="dxa"/>
            <w:gridSpan w:val="2"/>
            <w:tcBorders>
              <w:top w:val="nil"/>
              <w:left w:val="nil"/>
              <w:bottom w:val="single" w:sz="4" w:space="0" w:color="auto"/>
              <w:right w:val="single" w:sz="4" w:space="0" w:color="auto"/>
            </w:tcBorders>
            <w:shd w:val="clear" w:color="auto" w:fill="auto"/>
            <w:vAlign w:val="bottom"/>
            <w:hideMark/>
          </w:tcPr>
          <w:p w:rsidR="007416AD" w:rsidRPr="00DA23C5" w:rsidRDefault="007416AD" w:rsidP="007416AD">
            <w:pPr>
              <w:jc w:val="right"/>
              <w:rPr>
                <w:rFonts w:ascii="Verdana" w:hAnsi="Verdana" w:cs="Arial"/>
                <w:sz w:val="18"/>
                <w:szCs w:val="18"/>
              </w:rPr>
            </w:pPr>
            <w:r w:rsidRPr="00DA23C5">
              <w:rPr>
                <w:rFonts w:ascii="Verdana" w:hAnsi="Verdana" w:cs="Arial"/>
                <w:sz w:val="18"/>
                <w:szCs w:val="18"/>
              </w:rPr>
              <w:lastRenderedPageBreak/>
              <w:t> </w:t>
            </w:r>
          </w:p>
        </w:tc>
        <w:tc>
          <w:tcPr>
            <w:tcW w:w="1139" w:type="dxa"/>
            <w:tcBorders>
              <w:top w:val="nil"/>
              <w:left w:val="nil"/>
              <w:bottom w:val="single" w:sz="4" w:space="0" w:color="auto"/>
              <w:right w:val="single" w:sz="4" w:space="0" w:color="auto"/>
            </w:tcBorders>
            <w:shd w:val="clear" w:color="auto" w:fill="auto"/>
            <w:hideMark/>
          </w:tcPr>
          <w:p w:rsidR="007416AD" w:rsidRPr="00DA23C5" w:rsidRDefault="007416AD" w:rsidP="007416AD">
            <w:pPr>
              <w:rPr>
                <w:rFonts w:ascii="Verdana" w:hAnsi="Verdana" w:cs="Arial"/>
                <w:b/>
                <w:bCs/>
                <w:sz w:val="18"/>
                <w:szCs w:val="18"/>
              </w:rPr>
            </w:pPr>
            <w:r w:rsidRPr="00DA23C5">
              <w:rPr>
                <w:rFonts w:ascii="Verdana" w:hAnsi="Verdana" w:cs="Arial"/>
                <w:b/>
                <w:bCs/>
                <w:sz w:val="18"/>
                <w:szCs w:val="18"/>
              </w:rPr>
              <w:t>15%</w:t>
            </w:r>
          </w:p>
        </w:tc>
      </w:tr>
      <w:tr w:rsidR="007416AD" w:rsidRPr="00DA23C5" w:rsidTr="009615C6">
        <w:trPr>
          <w:trHeight w:val="320"/>
        </w:trPr>
        <w:tc>
          <w:tcPr>
            <w:tcW w:w="592" w:type="dxa"/>
            <w:tcBorders>
              <w:top w:val="nil"/>
              <w:left w:val="single" w:sz="4" w:space="0" w:color="auto"/>
              <w:bottom w:val="single" w:sz="4" w:space="0" w:color="auto"/>
              <w:right w:val="single" w:sz="4" w:space="0" w:color="auto"/>
            </w:tcBorders>
            <w:shd w:val="clear" w:color="auto" w:fill="auto"/>
            <w:hideMark/>
          </w:tcPr>
          <w:p w:rsidR="007416AD" w:rsidRPr="00DA23C5" w:rsidRDefault="007416AD" w:rsidP="007416AD">
            <w:pPr>
              <w:rPr>
                <w:rFonts w:ascii="Verdana" w:hAnsi="Verdana" w:cs="Arial"/>
                <w:b/>
                <w:bCs/>
                <w:sz w:val="18"/>
                <w:szCs w:val="18"/>
              </w:rPr>
            </w:pPr>
            <w:r w:rsidRPr="00DA23C5">
              <w:rPr>
                <w:rFonts w:ascii="Verdana" w:hAnsi="Verdana" w:cs="Arial"/>
                <w:b/>
                <w:bCs/>
                <w:sz w:val="18"/>
                <w:szCs w:val="18"/>
              </w:rPr>
              <w:t>5.a</w:t>
            </w:r>
          </w:p>
        </w:tc>
        <w:tc>
          <w:tcPr>
            <w:tcW w:w="3529" w:type="dxa"/>
            <w:tcBorders>
              <w:top w:val="nil"/>
              <w:left w:val="nil"/>
              <w:bottom w:val="single" w:sz="4" w:space="0" w:color="auto"/>
              <w:right w:val="single" w:sz="4" w:space="0" w:color="auto"/>
            </w:tcBorders>
            <w:shd w:val="clear" w:color="auto" w:fill="auto"/>
            <w:hideMark/>
          </w:tcPr>
          <w:p w:rsidR="007416AD" w:rsidRPr="00DA23C5" w:rsidRDefault="007416AD" w:rsidP="007416AD">
            <w:pPr>
              <w:rPr>
                <w:rFonts w:ascii="Verdana" w:hAnsi="Verdana" w:cs="Arial"/>
                <w:b/>
                <w:bCs/>
                <w:sz w:val="18"/>
                <w:szCs w:val="18"/>
              </w:rPr>
            </w:pPr>
            <w:r w:rsidRPr="00DA23C5">
              <w:rPr>
                <w:rFonts w:ascii="Verdana" w:hAnsi="Verdana" w:cs="Arial"/>
                <w:b/>
                <w:bCs/>
                <w:sz w:val="18"/>
                <w:szCs w:val="18"/>
              </w:rPr>
              <w:t> </w:t>
            </w:r>
          </w:p>
        </w:tc>
        <w:tc>
          <w:tcPr>
            <w:tcW w:w="5230" w:type="dxa"/>
            <w:gridSpan w:val="2"/>
            <w:tcBorders>
              <w:top w:val="nil"/>
              <w:left w:val="nil"/>
              <w:bottom w:val="single" w:sz="4" w:space="0" w:color="auto"/>
              <w:right w:val="single" w:sz="4" w:space="0" w:color="auto"/>
            </w:tcBorders>
            <w:shd w:val="clear" w:color="auto" w:fill="auto"/>
            <w:vAlign w:val="bottom"/>
            <w:hideMark/>
          </w:tcPr>
          <w:p w:rsidR="007416AD" w:rsidRPr="00DA23C5" w:rsidRDefault="007416AD" w:rsidP="000329BC">
            <w:pPr>
              <w:jc w:val="both"/>
              <w:rPr>
                <w:rFonts w:ascii="Verdana" w:hAnsi="Verdana" w:cs="Arial"/>
                <w:sz w:val="18"/>
                <w:szCs w:val="18"/>
              </w:rPr>
            </w:pPr>
            <w:r w:rsidRPr="00DA23C5">
              <w:rPr>
                <w:rFonts w:ascii="Verdana" w:hAnsi="Verdana" w:cs="Arial"/>
                <w:sz w:val="18"/>
                <w:szCs w:val="18"/>
              </w:rPr>
              <w:t>Avvio studio delle alternative progettuali</w:t>
            </w:r>
          </w:p>
        </w:tc>
        <w:tc>
          <w:tcPr>
            <w:tcW w:w="1139" w:type="dxa"/>
            <w:tcBorders>
              <w:top w:val="nil"/>
              <w:left w:val="nil"/>
              <w:bottom w:val="single" w:sz="4" w:space="0" w:color="auto"/>
              <w:right w:val="single" w:sz="4" w:space="0" w:color="auto"/>
            </w:tcBorders>
            <w:shd w:val="clear" w:color="auto" w:fill="auto"/>
            <w:hideMark/>
          </w:tcPr>
          <w:p w:rsidR="007416AD" w:rsidRPr="00DA23C5" w:rsidRDefault="007416AD" w:rsidP="007416AD">
            <w:pPr>
              <w:jc w:val="right"/>
              <w:rPr>
                <w:rFonts w:ascii="Verdana" w:hAnsi="Verdana" w:cs="Arial"/>
                <w:b/>
                <w:bCs/>
                <w:sz w:val="18"/>
                <w:szCs w:val="18"/>
              </w:rPr>
            </w:pPr>
            <w:r w:rsidRPr="00DA23C5">
              <w:rPr>
                <w:rFonts w:ascii="Verdana" w:hAnsi="Verdana" w:cs="Arial"/>
                <w:b/>
                <w:bCs/>
                <w:sz w:val="18"/>
                <w:szCs w:val="18"/>
              </w:rPr>
              <w:t>15%</w:t>
            </w:r>
          </w:p>
        </w:tc>
      </w:tr>
      <w:tr w:rsidR="000666A1" w:rsidRPr="00DA23C5" w:rsidTr="009615C6">
        <w:trPr>
          <w:trHeight w:val="510"/>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0666A1" w:rsidRPr="00DA23C5" w:rsidRDefault="000666A1" w:rsidP="000666A1">
            <w:pPr>
              <w:rPr>
                <w:rFonts w:ascii="Verdana" w:hAnsi="Verdana" w:cs="Arial"/>
                <w:b/>
                <w:bCs/>
                <w:sz w:val="18"/>
                <w:szCs w:val="18"/>
                <w:lang w:eastAsia="it-IT"/>
              </w:rPr>
            </w:pPr>
            <w:r w:rsidRPr="00DA23C5">
              <w:rPr>
                <w:rFonts w:ascii="Verdana" w:hAnsi="Verdana" w:cs="Arial"/>
                <w:b/>
                <w:bCs/>
                <w:sz w:val="18"/>
                <w:szCs w:val="18"/>
              </w:rPr>
              <w:t>6</w:t>
            </w:r>
          </w:p>
        </w:tc>
        <w:tc>
          <w:tcPr>
            <w:tcW w:w="3529" w:type="dxa"/>
            <w:tcBorders>
              <w:top w:val="single" w:sz="4" w:space="0" w:color="auto"/>
              <w:left w:val="nil"/>
              <w:bottom w:val="single" w:sz="4" w:space="0" w:color="auto"/>
              <w:right w:val="single" w:sz="4" w:space="0" w:color="auto"/>
            </w:tcBorders>
            <w:shd w:val="clear" w:color="auto" w:fill="auto"/>
            <w:hideMark/>
          </w:tcPr>
          <w:p w:rsidR="000666A1" w:rsidRPr="000329BC" w:rsidRDefault="000666A1" w:rsidP="000329BC">
            <w:pPr>
              <w:jc w:val="both"/>
              <w:rPr>
                <w:rFonts w:ascii="Verdana" w:hAnsi="Verdana" w:cs="Arial"/>
                <w:bCs/>
                <w:sz w:val="18"/>
                <w:szCs w:val="18"/>
              </w:rPr>
            </w:pPr>
            <w:r w:rsidRPr="000329BC">
              <w:rPr>
                <w:rFonts w:ascii="Verdana" w:hAnsi="Verdana" w:cs="Arial"/>
                <w:bCs/>
                <w:sz w:val="18"/>
                <w:szCs w:val="18"/>
              </w:rPr>
              <w:t>Incremento autosufficienza energetica</w:t>
            </w:r>
          </w:p>
        </w:tc>
        <w:tc>
          <w:tcPr>
            <w:tcW w:w="5230" w:type="dxa"/>
            <w:gridSpan w:val="2"/>
            <w:tcBorders>
              <w:top w:val="single" w:sz="4" w:space="0" w:color="auto"/>
              <w:left w:val="nil"/>
              <w:bottom w:val="single" w:sz="4" w:space="0" w:color="auto"/>
              <w:right w:val="single" w:sz="4" w:space="0" w:color="auto"/>
            </w:tcBorders>
            <w:shd w:val="clear" w:color="auto" w:fill="auto"/>
            <w:vAlign w:val="bottom"/>
            <w:hideMark/>
          </w:tcPr>
          <w:p w:rsidR="000666A1" w:rsidRPr="00DA23C5" w:rsidRDefault="000666A1" w:rsidP="000666A1">
            <w:pPr>
              <w:jc w:val="right"/>
              <w:rPr>
                <w:rFonts w:ascii="Verdana" w:hAnsi="Verdana" w:cs="Arial"/>
                <w:sz w:val="18"/>
                <w:szCs w:val="18"/>
              </w:rPr>
            </w:pPr>
            <w:r w:rsidRPr="00DA23C5">
              <w:rPr>
                <w:rFonts w:ascii="Verdana" w:hAnsi="Verdana" w:cs="Arial"/>
                <w:sz w:val="18"/>
                <w:szCs w:val="18"/>
              </w:rPr>
              <w:t> </w:t>
            </w:r>
          </w:p>
        </w:tc>
        <w:tc>
          <w:tcPr>
            <w:tcW w:w="1139" w:type="dxa"/>
            <w:tcBorders>
              <w:top w:val="single" w:sz="4" w:space="0" w:color="auto"/>
              <w:left w:val="nil"/>
              <w:bottom w:val="single" w:sz="4" w:space="0" w:color="auto"/>
              <w:right w:val="single" w:sz="4" w:space="0" w:color="auto"/>
            </w:tcBorders>
            <w:shd w:val="clear" w:color="auto" w:fill="auto"/>
            <w:hideMark/>
          </w:tcPr>
          <w:p w:rsidR="000666A1" w:rsidRPr="00DA23C5" w:rsidRDefault="000666A1" w:rsidP="000666A1">
            <w:pPr>
              <w:rPr>
                <w:rFonts w:ascii="Verdana" w:hAnsi="Verdana" w:cs="Arial"/>
                <w:b/>
                <w:bCs/>
                <w:sz w:val="18"/>
                <w:szCs w:val="18"/>
              </w:rPr>
            </w:pPr>
            <w:r w:rsidRPr="00DA23C5">
              <w:rPr>
                <w:rFonts w:ascii="Verdana" w:hAnsi="Verdana" w:cs="Arial"/>
                <w:b/>
                <w:bCs/>
                <w:sz w:val="18"/>
                <w:szCs w:val="18"/>
              </w:rPr>
              <w:t>15%</w:t>
            </w:r>
          </w:p>
        </w:tc>
      </w:tr>
      <w:tr w:rsidR="000666A1" w:rsidRPr="00DA23C5" w:rsidTr="009615C6">
        <w:trPr>
          <w:trHeight w:val="2741"/>
        </w:trPr>
        <w:tc>
          <w:tcPr>
            <w:tcW w:w="592" w:type="dxa"/>
            <w:tcBorders>
              <w:top w:val="nil"/>
              <w:left w:val="single" w:sz="4" w:space="0" w:color="auto"/>
              <w:bottom w:val="single" w:sz="4" w:space="0" w:color="auto"/>
              <w:right w:val="single" w:sz="4" w:space="0" w:color="auto"/>
            </w:tcBorders>
            <w:shd w:val="clear" w:color="auto" w:fill="auto"/>
            <w:hideMark/>
          </w:tcPr>
          <w:p w:rsidR="000666A1" w:rsidRPr="00DA23C5" w:rsidRDefault="000666A1" w:rsidP="000666A1">
            <w:pPr>
              <w:rPr>
                <w:rFonts w:ascii="Verdana" w:hAnsi="Verdana" w:cs="Arial"/>
                <w:b/>
                <w:bCs/>
                <w:sz w:val="18"/>
                <w:szCs w:val="18"/>
              </w:rPr>
            </w:pPr>
            <w:r w:rsidRPr="00DA23C5">
              <w:rPr>
                <w:rFonts w:ascii="Verdana" w:hAnsi="Verdana" w:cs="Arial"/>
                <w:b/>
                <w:bCs/>
                <w:sz w:val="18"/>
                <w:szCs w:val="18"/>
              </w:rPr>
              <w:t>6.a</w:t>
            </w:r>
          </w:p>
        </w:tc>
        <w:tc>
          <w:tcPr>
            <w:tcW w:w="3529" w:type="dxa"/>
            <w:tcBorders>
              <w:top w:val="nil"/>
              <w:left w:val="nil"/>
              <w:bottom w:val="single" w:sz="4" w:space="0" w:color="auto"/>
              <w:right w:val="single" w:sz="4" w:space="0" w:color="auto"/>
            </w:tcBorders>
            <w:shd w:val="clear" w:color="auto" w:fill="auto"/>
            <w:hideMark/>
          </w:tcPr>
          <w:p w:rsidR="000666A1" w:rsidRPr="00DA23C5" w:rsidRDefault="000666A1" w:rsidP="000666A1">
            <w:pPr>
              <w:rPr>
                <w:rFonts w:ascii="Verdana" w:hAnsi="Verdana" w:cs="Arial"/>
                <w:b/>
                <w:bCs/>
                <w:sz w:val="18"/>
                <w:szCs w:val="18"/>
              </w:rPr>
            </w:pPr>
            <w:r w:rsidRPr="00DA23C5">
              <w:rPr>
                <w:rFonts w:ascii="Verdana" w:hAnsi="Verdana" w:cs="Arial"/>
                <w:b/>
                <w:bCs/>
                <w:sz w:val="18"/>
                <w:szCs w:val="18"/>
              </w:rPr>
              <w:t> </w:t>
            </w:r>
          </w:p>
        </w:tc>
        <w:tc>
          <w:tcPr>
            <w:tcW w:w="5230" w:type="dxa"/>
            <w:gridSpan w:val="2"/>
            <w:tcBorders>
              <w:top w:val="nil"/>
              <w:left w:val="nil"/>
              <w:bottom w:val="single" w:sz="4" w:space="0" w:color="auto"/>
              <w:right w:val="single" w:sz="4" w:space="0" w:color="auto"/>
            </w:tcBorders>
            <w:shd w:val="clear" w:color="auto" w:fill="auto"/>
            <w:vAlign w:val="center"/>
            <w:hideMark/>
          </w:tcPr>
          <w:p w:rsidR="000666A1" w:rsidRPr="00DA23C5" w:rsidRDefault="000666A1" w:rsidP="000329BC">
            <w:pPr>
              <w:jc w:val="both"/>
              <w:rPr>
                <w:rFonts w:ascii="Verdana" w:hAnsi="Verdana" w:cs="Arial"/>
                <w:sz w:val="18"/>
                <w:szCs w:val="18"/>
              </w:rPr>
            </w:pPr>
            <w:r w:rsidRPr="00DA23C5">
              <w:rPr>
                <w:rFonts w:ascii="Verdana" w:hAnsi="Verdana" w:cs="Arial"/>
                <w:sz w:val="18"/>
                <w:szCs w:val="18"/>
              </w:rPr>
              <w:t xml:space="preserve">Progettazione esecutiva e predisposizione degli atti necessari per l'affidamento dei lavori relativi ai 4 impianti fotovoltaici previsti nel Piano Energetico 2022-24, in </w:t>
            </w:r>
            <w:proofErr w:type="gramStart"/>
            <w:r w:rsidRPr="00DA23C5">
              <w:rPr>
                <w:rFonts w:ascii="Verdana" w:hAnsi="Verdana" w:cs="Arial"/>
                <w:sz w:val="18"/>
                <w:szCs w:val="18"/>
              </w:rPr>
              <w:t>particolare:</w:t>
            </w:r>
            <w:r w:rsidRPr="00DA23C5">
              <w:rPr>
                <w:rFonts w:ascii="Verdana" w:hAnsi="Verdana" w:cs="Arial"/>
                <w:sz w:val="18"/>
                <w:szCs w:val="18"/>
              </w:rPr>
              <w:br/>
              <w:t>-</w:t>
            </w:r>
            <w:proofErr w:type="gramEnd"/>
            <w:r w:rsidRPr="00DA23C5">
              <w:rPr>
                <w:rFonts w:ascii="Verdana" w:hAnsi="Verdana" w:cs="Arial"/>
                <w:sz w:val="18"/>
                <w:szCs w:val="18"/>
              </w:rPr>
              <w:t xml:space="preserve"> Sezione 2 impianto FV presso il potabilizzatore della </w:t>
            </w:r>
            <w:proofErr w:type="spellStart"/>
            <w:r w:rsidRPr="00DA23C5">
              <w:rPr>
                <w:rFonts w:ascii="Verdana" w:hAnsi="Verdana" w:cs="Arial"/>
                <w:sz w:val="18"/>
                <w:szCs w:val="18"/>
              </w:rPr>
              <w:t>Standiana</w:t>
            </w:r>
            <w:proofErr w:type="spellEnd"/>
            <w:r w:rsidRPr="00DA23C5">
              <w:rPr>
                <w:rFonts w:ascii="Verdana" w:hAnsi="Verdana" w:cs="Arial"/>
                <w:sz w:val="18"/>
                <w:szCs w:val="18"/>
              </w:rPr>
              <w:t xml:space="preserve"> (RA);</w:t>
            </w:r>
            <w:r w:rsidRPr="00DA23C5">
              <w:rPr>
                <w:rFonts w:ascii="Verdana" w:hAnsi="Verdana" w:cs="Arial"/>
                <w:sz w:val="18"/>
                <w:szCs w:val="18"/>
              </w:rPr>
              <w:br/>
              <w:t>- Pensiline fotovoltaiche presso il parcheggio della sede legale di Forlì (FC);</w:t>
            </w:r>
            <w:r w:rsidRPr="00DA23C5">
              <w:rPr>
                <w:rFonts w:ascii="Verdana" w:hAnsi="Verdana" w:cs="Arial"/>
                <w:sz w:val="18"/>
                <w:szCs w:val="18"/>
              </w:rPr>
              <w:br/>
              <w:t>- Impianto FV presso il potabilizzatore di Capaccio (FC);</w:t>
            </w:r>
            <w:r w:rsidRPr="00DA23C5">
              <w:rPr>
                <w:rFonts w:ascii="Verdana" w:hAnsi="Verdana" w:cs="Arial"/>
                <w:sz w:val="18"/>
                <w:szCs w:val="18"/>
              </w:rPr>
              <w:br/>
              <w:t>- Impianto FV presso il campo pozzi Polveriera (RN).</w:t>
            </w:r>
          </w:p>
        </w:tc>
        <w:tc>
          <w:tcPr>
            <w:tcW w:w="1139" w:type="dxa"/>
            <w:tcBorders>
              <w:top w:val="nil"/>
              <w:left w:val="nil"/>
              <w:bottom w:val="single" w:sz="4" w:space="0" w:color="auto"/>
              <w:right w:val="single" w:sz="4" w:space="0" w:color="auto"/>
            </w:tcBorders>
            <w:shd w:val="clear" w:color="auto" w:fill="auto"/>
            <w:hideMark/>
          </w:tcPr>
          <w:p w:rsidR="000666A1" w:rsidRPr="00DA23C5" w:rsidRDefault="000666A1" w:rsidP="000666A1">
            <w:pPr>
              <w:jc w:val="right"/>
              <w:rPr>
                <w:rFonts w:ascii="Verdana" w:hAnsi="Verdana" w:cs="Arial"/>
                <w:bCs/>
                <w:sz w:val="18"/>
                <w:szCs w:val="18"/>
              </w:rPr>
            </w:pPr>
            <w:r w:rsidRPr="00DA23C5">
              <w:rPr>
                <w:rFonts w:ascii="Verdana" w:hAnsi="Verdana" w:cs="Arial"/>
                <w:bCs/>
                <w:sz w:val="18"/>
                <w:szCs w:val="18"/>
              </w:rPr>
              <w:t>10%</w:t>
            </w:r>
          </w:p>
        </w:tc>
      </w:tr>
      <w:tr w:rsidR="000666A1" w:rsidRPr="00DA23C5" w:rsidTr="009615C6">
        <w:trPr>
          <w:trHeight w:val="1290"/>
        </w:trPr>
        <w:tc>
          <w:tcPr>
            <w:tcW w:w="592" w:type="dxa"/>
            <w:tcBorders>
              <w:top w:val="nil"/>
              <w:left w:val="single" w:sz="4" w:space="0" w:color="auto"/>
              <w:bottom w:val="single" w:sz="4" w:space="0" w:color="auto"/>
              <w:right w:val="single" w:sz="4" w:space="0" w:color="auto"/>
            </w:tcBorders>
            <w:shd w:val="clear" w:color="auto" w:fill="auto"/>
            <w:hideMark/>
          </w:tcPr>
          <w:p w:rsidR="000666A1" w:rsidRPr="00DA23C5" w:rsidRDefault="000666A1" w:rsidP="000666A1">
            <w:pPr>
              <w:rPr>
                <w:rFonts w:ascii="Verdana" w:hAnsi="Verdana" w:cs="Arial"/>
                <w:b/>
                <w:bCs/>
                <w:sz w:val="18"/>
                <w:szCs w:val="18"/>
              </w:rPr>
            </w:pPr>
            <w:r w:rsidRPr="00DA23C5">
              <w:rPr>
                <w:rFonts w:ascii="Verdana" w:hAnsi="Verdana" w:cs="Arial"/>
                <w:b/>
                <w:bCs/>
                <w:sz w:val="18"/>
                <w:szCs w:val="18"/>
              </w:rPr>
              <w:t>6.b</w:t>
            </w:r>
          </w:p>
        </w:tc>
        <w:tc>
          <w:tcPr>
            <w:tcW w:w="3529" w:type="dxa"/>
            <w:tcBorders>
              <w:top w:val="nil"/>
              <w:left w:val="nil"/>
              <w:bottom w:val="single" w:sz="4" w:space="0" w:color="auto"/>
              <w:right w:val="single" w:sz="4" w:space="0" w:color="auto"/>
            </w:tcBorders>
            <w:shd w:val="clear" w:color="auto" w:fill="auto"/>
            <w:hideMark/>
          </w:tcPr>
          <w:p w:rsidR="000666A1" w:rsidRPr="00DA23C5" w:rsidRDefault="000666A1" w:rsidP="000666A1">
            <w:pPr>
              <w:rPr>
                <w:rFonts w:ascii="Verdana" w:hAnsi="Verdana" w:cs="Arial"/>
                <w:b/>
                <w:bCs/>
                <w:sz w:val="18"/>
                <w:szCs w:val="18"/>
              </w:rPr>
            </w:pPr>
            <w:r w:rsidRPr="00DA23C5">
              <w:rPr>
                <w:rFonts w:ascii="Verdana" w:hAnsi="Verdana" w:cs="Arial"/>
                <w:b/>
                <w:bCs/>
                <w:sz w:val="18"/>
                <w:szCs w:val="18"/>
              </w:rPr>
              <w:t> </w:t>
            </w:r>
          </w:p>
        </w:tc>
        <w:tc>
          <w:tcPr>
            <w:tcW w:w="5230" w:type="dxa"/>
            <w:gridSpan w:val="2"/>
            <w:tcBorders>
              <w:top w:val="nil"/>
              <w:left w:val="nil"/>
              <w:bottom w:val="single" w:sz="4" w:space="0" w:color="auto"/>
              <w:right w:val="single" w:sz="4" w:space="0" w:color="auto"/>
            </w:tcBorders>
            <w:shd w:val="clear" w:color="auto" w:fill="auto"/>
            <w:vAlign w:val="center"/>
            <w:hideMark/>
          </w:tcPr>
          <w:p w:rsidR="000666A1" w:rsidRPr="00DA23C5" w:rsidRDefault="000666A1" w:rsidP="00AB44DD">
            <w:pPr>
              <w:jc w:val="both"/>
              <w:rPr>
                <w:rFonts w:ascii="Verdana" w:hAnsi="Verdana" w:cs="Arial"/>
                <w:sz w:val="18"/>
                <w:szCs w:val="18"/>
              </w:rPr>
            </w:pPr>
            <w:r w:rsidRPr="00DA23C5">
              <w:rPr>
                <w:rFonts w:ascii="Verdana" w:hAnsi="Verdana" w:cs="Arial"/>
                <w:sz w:val="18"/>
                <w:szCs w:val="18"/>
              </w:rPr>
              <w:t>Identificazione di ulteriori impianti da fonti rinnovabili da inserire in occasione dell'aggiornamento del Piano Energetico, anche alla luce dell'evoluzione della normativa in materia di autoconsumo altrove e comunità energetiche</w:t>
            </w:r>
          </w:p>
        </w:tc>
        <w:tc>
          <w:tcPr>
            <w:tcW w:w="1139" w:type="dxa"/>
            <w:tcBorders>
              <w:top w:val="nil"/>
              <w:left w:val="nil"/>
              <w:bottom w:val="single" w:sz="4" w:space="0" w:color="auto"/>
              <w:right w:val="single" w:sz="4" w:space="0" w:color="auto"/>
            </w:tcBorders>
            <w:shd w:val="clear" w:color="auto" w:fill="auto"/>
            <w:hideMark/>
          </w:tcPr>
          <w:p w:rsidR="000666A1" w:rsidRPr="00DA23C5" w:rsidRDefault="000666A1" w:rsidP="000666A1">
            <w:pPr>
              <w:jc w:val="right"/>
              <w:rPr>
                <w:rFonts w:ascii="Verdana" w:hAnsi="Verdana" w:cs="Arial"/>
                <w:bCs/>
                <w:sz w:val="18"/>
                <w:szCs w:val="18"/>
              </w:rPr>
            </w:pPr>
            <w:r w:rsidRPr="00DA23C5">
              <w:rPr>
                <w:rFonts w:ascii="Verdana" w:hAnsi="Verdana" w:cs="Arial"/>
                <w:bCs/>
                <w:sz w:val="18"/>
                <w:szCs w:val="18"/>
              </w:rPr>
              <w:t>5%</w:t>
            </w:r>
          </w:p>
        </w:tc>
      </w:tr>
      <w:tr w:rsidR="000666A1" w:rsidRPr="00DA23C5" w:rsidTr="009615C6">
        <w:trPr>
          <w:trHeight w:val="255"/>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666A1" w:rsidRPr="00DA23C5" w:rsidRDefault="000666A1" w:rsidP="000666A1">
            <w:pPr>
              <w:rPr>
                <w:rFonts w:ascii="Verdana" w:hAnsi="Verdana" w:cs="Arial"/>
                <w:b/>
                <w:bCs/>
                <w:sz w:val="18"/>
                <w:szCs w:val="18"/>
              </w:rPr>
            </w:pPr>
            <w:r w:rsidRPr="00DA23C5">
              <w:rPr>
                <w:rFonts w:ascii="Verdana" w:hAnsi="Verdana" w:cs="Arial"/>
                <w:b/>
                <w:bCs/>
                <w:sz w:val="18"/>
                <w:szCs w:val="18"/>
              </w:rPr>
              <w:t> </w:t>
            </w:r>
          </w:p>
        </w:tc>
        <w:tc>
          <w:tcPr>
            <w:tcW w:w="3529" w:type="dxa"/>
            <w:tcBorders>
              <w:top w:val="nil"/>
              <w:left w:val="nil"/>
              <w:bottom w:val="single" w:sz="4" w:space="0" w:color="auto"/>
              <w:right w:val="single" w:sz="4" w:space="0" w:color="auto"/>
            </w:tcBorders>
            <w:shd w:val="clear" w:color="auto" w:fill="auto"/>
            <w:vAlign w:val="center"/>
            <w:hideMark/>
          </w:tcPr>
          <w:p w:rsidR="000666A1" w:rsidRPr="00DA23C5" w:rsidRDefault="000666A1" w:rsidP="000666A1">
            <w:pPr>
              <w:rPr>
                <w:rFonts w:ascii="Verdana" w:hAnsi="Verdana" w:cs="Arial"/>
                <w:b/>
                <w:bCs/>
                <w:sz w:val="18"/>
                <w:szCs w:val="18"/>
              </w:rPr>
            </w:pPr>
            <w:r w:rsidRPr="00DA23C5">
              <w:rPr>
                <w:rFonts w:ascii="Verdana" w:hAnsi="Verdana" w:cs="Arial"/>
                <w:b/>
                <w:bCs/>
                <w:sz w:val="18"/>
                <w:szCs w:val="18"/>
              </w:rPr>
              <w:t>TOTALE</w:t>
            </w:r>
          </w:p>
        </w:tc>
        <w:tc>
          <w:tcPr>
            <w:tcW w:w="5230" w:type="dxa"/>
            <w:gridSpan w:val="2"/>
            <w:tcBorders>
              <w:top w:val="nil"/>
              <w:left w:val="nil"/>
              <w:bottom w:val="single" w:sz="4" w:space="0" w:color="auto"/>
              <w:right w:val="single" w:sz="4" w:space="0" w:color="auto"/>
            </w:tcBorders>
            <w:shd w:val="clear" w:color="auto" w:fill="auto"/>
            <w:vAlign w:val="bottom"/>
            <w:hideMark/>
          </w:tcPr>
          <w:p w:rsidR="000666A1" w:rsidRPr="00DA23C5" w:rsidRDefault="000666A1" w:rsidP="000666A1">
            <w:pPr>
              <w:ind w:firstLineChars="100" w:firstLine="180"/>
              <w:jc w:val="right"/>
              <w:rPr>
                <w:rFonts w:ascii="Verdana" w:hAnsi="Verdana" w:cs="Arial"/>
                <w:sz w:val="18"/>
                <w:szCs w:val="18"/>
              </w:rPr>
            </w:pPr>
            <w:r w:rsidRPr="00DA23C5">
              <w:rPr>
                <w:rFonts w:ascii="Verdana" w:hAnsi="Verdana" w:cs="Arial"/>
                <w:sz w:val="18"/>
                <w:szCs w:val="18"/>
              </w:rPr>
              <w:t> </w:t>
            </w:r>
          </w:p>
        </w:tc>
        <w:tc>
          <w:tcPr>
            <w:tcW w:w="1139" w:type="dxa"/>
            <w:tcBorders>
              <w:top w:val="nil"/>
              <w:left w:val="nil"/>
              <w:bottom w:val="single" w:sz="4" w:space="0" w:color="auto"/>
              <w:right w:val="single" w:sz="4" w:space="0" w:color="auto"/>
            </w:tcBorders>
            <w:shd w:val="clear" w:color="auto" w:fill="auto"/>
            <w:vAlign w:val="bottom"/>
            <w:hideMark/>
          </w:tcPr>
          <w:p w:rsidR="000666A1" w:rsidRPr="00DA23C5" w:rsidRDefault="000666A1" w:rsidP="000666A1">
            <w:pPr>
              <w:ind w:firstLineChars="100" w:firstLine="181"/>
              <w:jc w:val="right"/>
              <w:rPr>
                <w:rFonts w:ascii="Verdana" w:hAnsi="Verdana" w:cs="Arial"/>
                <w:b/>
                <w:bCs/>
                <w:sz w:val="18"/>
                <w:szCs w:val="18"/>
              </w:rPr>
            </w:pPr>
            <w:r w:rsidRPr="00DA23C5">
              <w:rPr>
                <w:rFonts w:ascii="Verdana" w:hAnsi="Verdana" w:cs="Arial"/>
                <w:b/>
                <w:bCs/>
                <w:sz w:val="18"/>
                <w:szCs w:val="18"/>
              </w:rPr>
              <w:t>100%</w:t>
            </w:r>
          </w:p>
        </w:tc>
      </w:tr>
      <w:tr w:rsidR="00621C9B" w:rsidRPr="00DA23C5" w:rsidTr="009615C6">
        <w:trPr>
          <w:trHeight w:val="315"/>
        </w:trPr>
        <w:tc>
          <w:tcPr>
            <w:tcW w:w="592" w:type="dxa"/>
            <w:tcBorders>
              <w:top w:val="nil"/>
              <w:left w:val="single" w:sz="4" w:space="0" w:color="auto"/>
              <w:bottom w:val="nil"/>
              <w:right w:val="nil"/>
            </w:tcBorders>
            <w:shd w:val="clear" w:color="auto" w:fill="auto"/>
            <w:vAlign w:val="center"/>
            <w:hideMark/>
          </w:tcPr>
          <w:p w:rsidR="00621C9B" w:rsidRPr="00DA23C5" w:rsidRDefault="00621C9B" w:rsidP="00071495">
            <w:pPr>
              <w:jc w:val="center"/>
              <w:rPr>
                <w:rFonts w:ascii="Verdana" w:hAnsi="Verdana" w:cs="Arial"/>
                <w:sz w:val="18"/>
                <w:szCs w:val="18"/>
                <w:lang w:eastAsia="it-IT"/>
              </w:rPr>
            </w:pPr>
            <w:r w:rsidRPr="00DA23C5">
              <w:rPr>
                <w:rFonts w:ascii="Verdana" w:hAnsi="Verdana" w:cs="Arial"/>
                <w:sz w:val="18"/>
                <w:szCs w:val="18"/>
                <w:lang w:eastAsia="it-IT"/>
              </w:rPr>
              <w:t> </w:t>
            </w:r>
          </w:p>
        </w:tc>
        <w:tc>
          <w:tcPr>
            <w:tcW w:w="875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21C9B" w:rsidRPr="00DA23C5" w:rsidRDefault="00621C9B" w:rsidP="00071495">
            <w:pPr>
              <w:jc w:val="center"/>
              <w:rPr>
                <w:rFonts w:ascii="Verdana" w:hAnsi="Verdana" w:cs="Arial"/>
                <w:b/>
                <w:bCs/>
                <w:sz w:val="18"/>
                <w:szCs w:val="18"/>
                <w:lang w:eastAsia="it-IT"/>
              </w:rPr>
            </w:pPr>
            <w:proofErr w:type="gramStart"/>
            <w:r w:rsidRPr="00DA23C5">
              <w:rPr>
                <w:rFonts w:ascii="Verdana" w:hAnsi="Verdana" w:cs="Arial"/>
                <w:b/>
                <w:bCs/>
                <w:sz w:val="18"/>
                <w:szCs w:val="18"/>
                <w:lang w:eastAsia="it-IT"/>
              </w:rPr>
              <w:t>obiettivo</w:t>
            </w:r>
            <w:proofErr w:type="gramEnd"/>
            <w:r w:rsidRPr="00DA23C5">
              <w:rPr>
                <w:rFonts w:ascii="Verdana" w:hAnsi="Verdana" w:cs="Arial"/>
                <w:b/>
                <w:bCs/>
                <w:sz w:val="18"/>
                <w:szCs w:val="18"/>
                <w:lang w:eastAsia="it-IT"/>
              </w:rPr>
              <w:t xml:space="preserve"> sul contenimento dei costi di funzionamento</w:t>
            </w:r>
          </w:p>
        </w:tc>
        <w:tc>
          <w:tcPr>
            <w:tcW w:w="1139" w:type="dxa"/>
            <w:tcBorders>
              <w:top w:val="nil"/>
              <w:left w:val="nil"/>
              <w:bottom w:val="nil"/>
              <w:right w:val="nil"/>
            </w:tcBorders>
            <w:shd w:val="clear" w:color="auto" w:fill="auto"/>
            <w:vAlign w:val="center"/>
            <w:hideMark/>
          </w:tcPr>
          <w:p w:rsidR="00621C9B" w:rsidRPr="00DA23C5" w:rsidRDefault="00621C9B" w:rsidP="00071495">
            <w:pPr>
              <w:jc w:val="center"/>
              <w:rPr>
                <w:rFonts w:ascii="Verdana" w:hAnsi="Verdana" w:cs="Arial"/>
                <w:b/>
                <w:bCs/>
                <w:sz w:val="18"/>
                <w:szCs w:val="18"/>
                <w:highlight w:val="yellow"/>
                <w:lang w:eastAsia="it-IT"/>
              </w:rPr>
            </w:pPr>
          </w:p>
        </w:tc>
      </w:tr>
      <w:tr w:rsidR="00621C9B" w:rsidRPr="00DA23C5" w:rsidTr="009615C6">
        <w:trPr>
          <w:trHeight w:val="255"/>
        </w:trPr>
        <w:tc>
          <w:tcPr>
            <w:tcW w:w="592" w:type="dxa"/>
            <w:tcBorders>
              <w:top w:val="single" w:sz="4" w:space="0" w:color="auto"/>
              <w:left w:val="single" w:sz="4" w:space="0" w:color="auto"/>
              <w:bottom w:val="nil"/>
              <w:right w:val="nil"/>
            </w:tcBorders>
            <w:shd w:val="clear" w:color="auto" w:fill="auto"/>
            <w:vAlign w:val="center"/>
            <w:hideMark/>
          </w:tcPr>
          <w:p w:rsidR="00621C9B" w:rsidRPr="00DA23C5" w:rsidRDefault="00621C9B" w:rsidP="00071495">
            <w:pPr>
              <w:jc w:val="center"/>
              <w:rPr>
                <w:rFonts w:ascii="Verdana" w:hAnsi="Verdana" w:cs="Arial"/>
                <w:sz w:val="18"/>
                <w:szCs w:val="18"/>
                <w:lang w:eastAsia="it-IT"/>
              </w:rPr>
            </w:pPr>
            <w:r w:rsidRPr="00DA23C5">
              <w:rPr>
                <w:rFonts w:ascii="Verdana" w:hAnsi="Verdana" w:cs="Arial"/>
                <w:sz w:val="18"/>
                <w:szCs w:val="18"/>
                <w:lang w:eastAsia="it-IT"/>
              </w:rPr>
              <w:t> </w:t>
            </w:r>
          </w:p>
        </w:tc>
        <w:tc>
          <w:tcPr>
            <w:tcW w:w="3808" w:type="dxa"/>
            <w:gridSpan w:val="2"/>
            <w:tcBorders>
              <w:top w:val="nil"/>
              <w:left w:val="single" w:sz="4" w:space="0" w:color="auto"/>
              <w:bottom w:val="nil"/>
              <w:right w:val="single" w:sz="4" w:space="0" w:color="auto"/>
            </w:tcBorders>
            <w:shd w:val="clear" w:color="auto" w:fill="auto"/>
            <w:vAlign w:val="center"/>
            <w:hideMark/>
          </w:tcPr>
          <w:p w:rsidR="00621C9B" w:rsidRPr="00DA23C5" w:rsidRDefault="00621C9B" w:rsidP="00071495">
            <w:pPr>
              <w:rPr>
                <w:rFonts w:ascii="Verdana" w:hAnsi="Verdana" w:cs="Arial"/>
                <w:b/>
                <w:bCs/>
                <w:sz w:val="18"/>
                <w:szCs w:val="18"/>
                <w:lang w:eastAsia="it-IT"/>
              </w:rPr>
            </w:pPr>
            <w:r w:rsidRPr="00DA23C5">
              <w:rPr>
                <w:rFonts w:ascii="Verdana" w:hAnsi="Verdana" w:cs="Arial"/>
                <w:b/>
                <w:bCs/>
                <w:sz w:val="18"/>
                <w:szCs w:val="18"/>
                <w:lang w:eastAsia="it-IT"/>
              </w:rPr>
              <w:t> </w:t>
            </w:r>
          </w:p>
        </w:tc>
        <w:tc>
          <w:tcPr>
            <w:tcW w:w="4951" w:type="dxa"/>
            <w:vMerge w:val="restart"/>
            <w:tcBorders>
              <w:top w:val="nil"/>
              <w:left w:val="nil"/>
              <w:bottom w:val="single" w:sz="4" w:space="0" w:color="000000"/>
              <w:right w:val="single" w:sz="4" w:space="0" w:color="auto"/>
            </w:tcBorders>
            <w:shd w:val="clear" w:color="auto" w:fill="auto"/>
            <w:vAlign w:val="center"/>
            <w:hideMark/>
          </w:tcPr>
          <w:p w:rsidR="00621C9B" w:rsidRPr="00DA23C5" w:rsidRDefault="00621C9B" w:rsidP="00071495">
            <w:pPr>
              <w:jc w:val="center"/>
              <w:rPr>
                <w:rFonts w:ascii="Verdana" w:hAnsi="Verdana" w:cs="Arial"/>
                <w:b/>
                <w:bCs/>
                <w:sz w:val="18"/>
                <w:szCs w:val="18"/>
                <w:lang w:eastAsia="it-IT"/>
              </w:rPr>
            </w:pPr>
            <w:r w:rsidRPr="00DA23C5">
              <w:rPr>
                <w:rFonts w:ascii="Verdana" w:hAnsi="Verdana" w:cs="Arial"/>
                <w:b/>
                <w:bCs/>
                <w:sz w:val="18"/>
                <w:szCs w:val="18"/>
                <w:lang w:eastAsia="it-IT"/>
              </w:rPr>
              <w:t>AZIONI</w:t>
            </w:r>
          </w:p>
        </w:tc>
        <w:tc>
          <w:tcPr>
            <w:tcW w:w="1139" w:type="dxa"/>
            <w:tcBorders>
              <w:top w:val="nil"/>
              <w:left w:val="nil"/>
              <w:bottom w:val="nil"/>
              <w:right w:val="nil"/>
            </w:tcBorders>
            <w:shd w:val="clear" w:color="auto" w:fill="auto"/>
            <w:vAlign w:val="center"/>
            <w:hideMark/>
          </w:tcPr>
          <w:p w:rsidR="00621C9B" w:rsidRPr="00DA23C5" w:rsidRDefault="00621C9B" w:rsidP="00071495">
            <w:pPr>
              <w:jc w:val="center"/>
              <w:rPr>
                <w:rFonts w:ascii="Verdana" w:hAnsi="Verdana" w:cs="Arial"/>
                <w:b/>
                <w:bCs/>
                <w:sz w:val="18"/>
                <w:szCs w:val="18"/>
                <w:highlight w:val="yellow"/>
                <w:lang w:eastAsia="it-IT"/>
              </w:rPr>
            </w:pPr>
          </w:p>
        </w:tc>
      </w:tr>
      <w:tr w:rsidR="00621C9B" w:rsidRPr="00DA23C5" w:rsidTr="009615C6">
        <w:trPr>
          <w:trHeight w:val="255"/>
        </w:trPr>
        <w:tc>
          <w:tcPr>
            <w:tcW w:w="592" w:type="dxa"/>
            <w:tcBorders>
              <w:top w:val="nil"/>
              <w:left w:val="single" w:sz="4" w:space="0" w:color="auto"/>
              <w:bottom w:val="single" w:sz="4" w:space="0" w:color="auto"/>
              <w:right w:val="nil"/>
            </w:tcBorders>
            <w:shd w:val="clear" w:color="auto" w:fill="auto"/>
            <w:vAlign w:val="center"/>
            <w:hideMark/>
          </w:tcPr>
          <w:p w:rsidR="00621C9B" w:rsidRPr="00DA23C5" w:rsidRDefault="00621C9B" w:rsidP="00071495">
            <w:pPr>
              <w:jc w:val="center"/>
              <w:rPr>
                <w:rFonts w:ascii="Verdana" w:hAnsi="Verdana" w:cs="Arial"/>
                <w:sz w:val="18"/>
                <w:szCs w:val="18"/>
                <w:lang w:eastAsia="it-IT"/>
              </w:rPr>
            </w:pPr>
            <w:r w:rsidRPr="00DA23C5">
              <w:rPr>
                <w:rFonts w:ascii="Verdana" w:hAnsi="Verdana" w:cs="Arial"/>
                <w:sz w:val="18"/>
                <w:szCs w:val="18"/>
                <w:lang w:eastAsia="it-IT"/>
              </w:rPr>
              <w:t> </w:t>
            </w:r>
          </w:p>
        </w:tc>
        <w:tc>
          <w:tcPr>
            <w:tcW w:w="3808" w:type="dxa"/>
            <w:gridSpan w:val="2"/>
            <w:tcBorders>
              <w:top w:val="nil"/>
              <w:left w:val="single" w:sz="4" w:space="0" w:color="auto"/>
              <w:bottom w:val="single" w:sz="4" w:space="0" w:color="auto"/>
              <w:right w:val="single" w:sz="4" w:space="0" w:color="auto"/>
            </w:tcBorders>
            <w:shd w:val="clear" w:color="auto" w:fill="auto"/>
            <w:vAlign w:val="center"/>
            <w:hideMark/>
          </w:tcPr>
          <w:p w:rsidR="00621C9B" w:rsidRPr="00DA23C5" w:rsidRDefault="00F47FD6" w:rsidP="00071495">
            <w:pPr>
              <w:rPr>
                <w:rFonts w:ascii="Verdana" w:hAnsi="Verdana" w:cs="Arial"/>
                <w:b/>
                <w:bCs/>
                <w:sz w:val="18"/>
                <w:szCs w:val="18"/>
                <w:lang w:eastAsia="it-IT"/>
              </w:rPr>
            </w:pPr>
            <w:r w:rsidRPr="00DA23C5">
              <w:rPr>
                <w:rFonts w:ascii="Verdana" w:hAnsi="Verdana" w:cs="Arial"/>
                <w:b/>
                <w:bCs/>
                <w:sz w:val="18"/>
                <w:szCs w:val="18"/>
                <w:lang w:eastAsia="it-IT"/>
              </w:rPr>
              <w:t xml:space="preserve">OBIETTIVO </w:t>
            </w:r>
            <w:r w:rsidR="00665A0B" w:rsidRPr="00DA23C5">
              <w:rPr>
                <w:rFonts w:ascii="Verdana" w:hAnsi="Verdana" w:cs="Arial"/>
                <w:b/>
                <w:bCs/>
                <w:sz w:val="18"/>
                <w:szCs w:val="18"/>
                <w:lang w:eastAsia="it-IT"/>
              </w:rPr>
              <w:t>2023</w:t>
            </w:r>
          </w:p>
        </w:tc>
        <w:tc>
          <w:tcPr>
            <w:tcW w:w="4951" w:type="dxa"/>
            <w:vMerge/>
            <w:tcBorders>
              <w:top w:val="nil"/>
              <w:left w:val="nil"/>
              <w:bottom w:val="single" w:sz="4" w:space="0" w:color="000000"/>
              <w:right w:val="single" w:sz="4" w:space="0" w:color="auto"/>
            </w:tcBorders>
            <w:vAlign w:val="center"/>
            <w:hideMark/>
          </w:tcPr>
          <w:p w:rsidR="00621C9B" w:rsidRPr="00DA23C5" w:rsidRDefault="00621C9B" w:rsidP="00071495">
            <w:pPr>
              <w:rPr>
                <w:rFonts w:ascii="Verdana" w:hAnsi="Verdana" w:cs="Arial"/>
                <w:b/>
                <w:bCs/>
                <w:sz w:val="18"/>
                <w:szCs w:val="18"/>
                <w:lang w:eastAsia="it-IT"/>
              </w:rPr>
            </w:pPr>
          </w:p>
        </w:tc>
        <w:tc>
          <w:tcPr>
            <w:tcW w:w="1139" w:type="dxa"/>
            <w:tcBorders>
              <w:top w:val="nil"/>
              <w:left w:val="nil"/>
              <w:bottom w:val="nil"/>
              <w:right w:val="nil"/>
            </w:tcBorders>
            <w:shd w:val="clear" w:color="auto" w:fill="auto"/>
            <w:vAlign w:val="center"/>
            <w:hideMark/>
          </w:tcPr>
          <w:p w:rsidR="00621C9B" w:rsidRPr="00DA23C5" w:rsidRDefault="00621C9B" w:rsidP="00071495">
            <w:pPr>
              <w:rPr>
                <w:rFonts w:ascii="Verdana" w:hAnsi="Verdana" w:cs="Arial"/>
                <w:b/>
                <w:bCs/>
                <w:sz w:val="18"/>
                <w:szCs w:val="18"/>
                <w:highlight w:val="yellow"/>
                <w:lang w:eastAsia="it-IT"/>
              </w:rPr>
            </w:pPr>
          </w:p>
        </w:tc>
      </w:tr>
      <w:tr w:rsidR="00621C9B" w:rsidRPr="00DA23C5" w:rsidTr="009615C6">
        <w:trPr>
          <w:trHeight w:val="655"/>
        </w:trPr>
        <w:tc>
          <w:tcPr>
            <w:tcW w:w="592" w:type="dxa"/>
            <w:tcBorders>
              <w:top w:val="nil"/>
              <w:left w:val="single" w:sz="4" w:space="0" w:color="auto"/>
              <w:bottom w:val="single" w:sz="4" w:space="0" w:color="auto"/>
              <w:right w:val="nil"/>
            </w:tcBorders>
            <w:shd w:val="clear" w:color="auto" w:fill="auto"/>
            <w:vAlign w:val="center"/>
            <w:hideMark/>
          </w:tcPr>
          <w:p w:rsidR="00621C9B" w:rsidRPr="00DA23C5" w:rsidRDefault="00621C9B" w:rsidP="00071495">
            <w:pPr>
              <w:jc w:val="center"/>
              <w:rPr>
                <w:rFonts w:ascii="Verdana" w:hAnsi="Verdana" w:cs="Arial"/>
                <w:sz w:val="18"/>
                <w:szCs w:val="18"/>
                <w:lang w:eastAsia="it-IT"/>
              </w:rPr>
            </w:pPr>
            <w:r w:rsidRPr="00DA23C5">
              <w:rPr>
                <w:rFonts w:ascii="Verdana" w:hAnsi="Verdana" w:cs="Arial"/>
                <w:sz w:val="18"/>
                <w:szCs w:val="18"/>
                <w:lang w:eastAsia="it-IT"/>
              </w:rPr>
              <w:t>1</w:t>
            </w:r>
          </w:p>
        </w:tc>
        <w:tc>
          <w:tcPr>
            <w:tcW w:w="3808" w:type="dxa"/>
            <w:gridSpan w:val="2"/>
            <w:tcBorders>
              <w:top w:val="nil"/>
              <w:left w:val="single" w:sz="4" w:space="0" w:color="auto"/>
              <w:bottom w:val="single" w:sz="4" w:space="0" w:color="auto"/>
              <w:right w:val="single" w:sz="4" w:space="0" w:color="auto"/>
            </w:tcBorders>
            <w:shd w:val="clear" w:color="auto" w:fill="auto"/>
            <w:hideMark/>
          </w:tcPr>
          <w:p w:rsidR="00621C9B" w:rsidRPr="00DA23C5" w:rsidRDefault="00621C9B" w:rsidP="00071495">
            <w:pPr>
              <w:jc w:val="both"/>
              <w:rPr>
                <w:rFonts w:ascii="Verdana" w:hAnsi="Verdana" w:cs="Arial"/>
                <w:bCs/>
                <w:sz w:val="18"/>
                <w:szCs w:val="18"/>
                <w:lang w:eastAsia="it-IT"/>
              </w:rPr>
            </w:pPr>
            <w:r w:rsidRPr="00DA23C5">
              <w:rPr>
                <w:rFonts w:ascii="Verdana" w:hAnsi="Verdana" w:cs="Arial"/>
                <w:bCs/>
                <w:sz w:val="18"/>
                <w:szCs w:val="18"/>
                <w:lang w:eastAsia="it-IT"/>
              </w:rPr>
              <w:t>MTI-3:</w:t>
            </w:r>
            <w:r w:rsidR="000329BC">
              <w:rPr>
                <w:rFonts w:ascii="Verdana" w:hAnsi="Verdana" w:cs="Arial"/>
                <w:bCs/>
                <w:sz w:val="18"/>
                <w:szCs w:val="18"/>
                <w:lang w:eastAsia="it-IT"/>
              </w:rPr>
              <w:t xml:space="preserve"> </w:t>
            </w:r>
            <w:r w:rsidRPr="00DA23C5">
              <w:rPr>
                <w:rFonts w:ascii="Verdana" w:hAnsi="Verdana" w:cs="Arial"/>
                <w:bCs/>
                <w:sz w:val="18"/>
                <w:szCs w:val="18"/>
                <w:lang w:eastAsia="it-IT"/>
              </w:rPr>
              <w:t xml:space="preserve">costi </w:t>
            </w:r>
            <w:proofErr w:type="spellStart"/>
            <w:r w:rsidRPr="00DA23C5">
              <w:rPr>
                <w:rFonts w:ascii="Verdana" w:hAnsi="Verdana" w:cs="Arial"/>
                <w:bCs/>
                <w:sz w:val="18"/>
                <w:szCs w:val="18"/>
                <w:lang w:eastAsia="it-IT"/>
              </w:rPr>
              <w:t>efficentabili</w:t>
            </w:r>
            <w:proofErr w:type="spellEnd"/>
            <w:r w:rsidRPr="00DA23C5">
              <w:rPr>
                <w:rFonts w:ascii="Verdana" w:hAnsi="Verdana" w:cs="Arial"/>
                <w:bCs/>
                <w:sz w:val="18"/>
                <w:szCs w:val="18"/>
                <w:lang w:eastAsia="it-IT"/>
              </w:rPr>
              <w:t>: riduzione del gap fra costi riconosciuti e costi consuntivati. Definizione di un piano strategico</w:t>
            </w:r>
          </w:p>
        </w:tc>
        <w:tc>
          <w:tcPr>
            <w:tcW w:w="4951" w:type="dxa"/>
            <w:tcBorders>
              <w:top w:val="nil"/>
              <w:left w:val="nil"/>
              <w:bottom w:val="single" w:sz="4" w:space="0" w:color="auto"/>
              <w:right w:val="single" w:sz="4" w:space="0" w:color="auto"/>
            </w:tcBorders>
            <w:shd w:val="clear" w:color="auto" w:fill="auto"/>
            <w:vAlign w:val="center"/>
            <w:hideMark/>
          </w:tcPr>
          <w:p w:rsidR="00621C9B" w:rsidRPr="00DA23C5" w:rsidRDefault="00621C9B" w:rsidP="00797CD8">
            <w:pPr>
              <w:jc w:val="both"/>
              <w:rPr>
                <w:rFonts w:ascii="Verdana" w:hAnsi="Verdana" w:cs="Arial"/>
                <w:sz w:val="18"/>
                <w:szCs w:val="18"/>
                <w:lang w:eastAsia="it-IT"/>
              </w:rPr>
            </w:pPr>
            <w:r w:rsidRPr="00DA23C5">
              <w:rPr>
                <w:rFonts w:ascii="Verdana" w:hAnsi="Verdana" w:cs="Arial"/>
                <w:sz w:val="18"/>
                <w:szCs w:val="18"/>
                <w:lang w:eastAsia="it-IT"/>
              </w:rPr>
              <w:t xml:space="preserve">Piano di </w:t>
            </w:r>
            <w:proofErr w:type="spellStart"/>
            <w:r w:rsidRPr="00DA23C5">
              <w:rPr>
                <w:rFonts w:ascii="Verdana" w:hAnsi="Verdana" w:cs="Arial"/>
                <w:sz w:val="18"/>
                <w:szCs w:val="18"/>
                <w:lang w:eastAsia="it-IT"/>
              </w:rPr>
              <w:t>efficentamento</w:t>
            </w:r>
            <w:proofErr w:type="spellEnd"/>
            <w:r w:rsidRPr="00DA23C5">
              <w:rPr>
                <w:rFonts w:ascii="Verdana" w:hAnsi="Verdana" w:cs="Arial"/>
                <w:sz w:val="18"/>
                <w:szCs w:val="18"/>
                <w:lang w:eastAsia="it-IT"/>
              </w:rPr>
              <w:t xml:space="preserve"> delle spese con natura di rappresentanza e liberalità rispetto al costo consuntivato nel 2020 di 1.312 K/euro</w:t>
            </w:r>
          </w:p>
        </w:tc>
        <w:tc>
          <w:tcPr>
            <w:tcW w:w="1139" w:type="dxa"/>
            <w:tcBorders>
              <w:top w:val="nil"/>
              <w:left w:val="nil"/>
              <w:bottom w:val="nil"/>
              <w:right w:val="nil"/>
            </w:tcBorders>
            <w:shd w:val="clear" w:color="auto" w:fill="auto"/>
            <w:vAlign w:val="center"/>
            <w:hideMark/>
          </w:tcPr>
          <w:p w:rsidR="00621C9B" w:rsidRPr="00DA23C5" w:rsidRDefault="00621C9B" w:rsidP="00071495">
            <w:pPr>
              <w:rPr>
                <w:rFonts w:ascii="Verdana" w:hAnsi="Verdana" w:cs="Arial"/>
                <w:sz w:val="18"/>
                <w:szCs w:val="18"/>
                <w:highlight w:val="yellow"/>
                <w:lang w:eastAsia="it-IT"/>
              </w:rPr>
            </w:pPr>
          </w:p>
        </w:tc>
      </w:tr>
      <w:tr w:rsidR="00621C9B" w:rsidRPr="00DA23C5" w:rsidTr="009615C6">
        <w:trPr>
          <w:trHeight w:val="255"/>
        </w:trPr>
        <w:tc>
          <w:tcPr>
            <w:tcW w:w="592" w:type="dxa"/>
            <w:tcBorders>
              <w:top w:val="nil"/>
              <w:left w:val="nil"/>
              <w:bottom w:val="nil"/>
              <w:right w:val="nil"/>
            </w:tcBorders>
            <w:shd w:val="clear" w:color="auto" w:fill="auto"/>
            <w:vAlign w:val="center"/>
            <w:hideMark/>
          </w:tcPr>
          <w:p w:rsidR="00621C9B" w:rsidRPr="00DA23C5" w:rsidRDefault="00621C9B" w:rsidP="00071495">
            <w:pPr>
              <w:jc w:val="right"/>
              <w:rPr>
                <w:rFonts w:ascii="Verdana" w:hAnsi="Verdana"/>
                <w:sz w:val="18"/>
                <w:szCs w:val="18"/>
                <w:lang w:eastAsia="it-IT"/>
              </w:rPr>
            </w:pPr>
          </w:p>
        </w:tc>
        <w:tc>
          <w:tcPr>
            <w:tcW w:w="3808" w:type="dxa"/>
            <w:gridSpan w:val="2"/>
            <w:tcBorders>
              <w:top w:val="nil"/>
              <w:left w:val="nil"/>
              <w:bottom w:val="nil"/>
              <w:right w:val="nil"/>
            </w:tcBorders>
            <w:shd w:val="clear" w:color="auto" w:fill="auto"/>
            <w:vAlign w:val="center"/>
            <w:hideMark/>
          </w:tcPr>
          <w:p w:rsidR="00621C9B" w:rsidRPr="00DA23C5" w:rsidRDefault="00621C9B" w:rsidP="00071495">
            <w:pPr>
              <w:jc w:val="center"/>
              <w:rPr>
                <w:rFonts w:ascii="Verdana" w:hAnsi="Verdana"/>
                <w:sz w:val="18"/>
                <w:szCs w:val="18"/>
                <w:lang w:eastAsia="it-IT"/>
              </w:rPr>
            </w:pPr>
          </w:p>
        </w:tc>
        <w:tc>
          <w:tcPr>
            <w:tcW w:w="4951" w:type="dxa"/>
            <w:tcBorders>
              <w:top w:val="nil"/>
              <w:left w:val="single" w:sz="4" w:space="0" w:color="auto"/>
              <w:bottom w:val="single" w:sz="4" w:space="0" w:color="auto"/>
              <w:right w:val="single" w:sz="4" w:space="0" w:color="auto"/>
            </w:tcBorders>
            <w:shd w:val="clear" w:color="auto" w:fill="auto"/>
            <w:vAlign w:val="center"/>
            <w:hideMark/>
          </w:tcPr>
          <w:p w:rsidR="00621C9B" w:rsidRPr="00DA23C5" w:rsidRDefault="00621C9B" w:rsidP="000329BC">
            <w:pPr>
              <w:jc w:val="both"/>
              <w:rPr>
                <w:rFonts w:ascii="Verdana" w:hAnsi="Verdana" w:cs="Arial"/>
                <w:sz w:val="18"/>
                <w:szCs w:val="18"/>
                <w:lang w:eastAsia="it-IT"/>
              </w:rPr>
            </w:pPr>
            <w:proofErr w:type="gramStart"/>
            <w:r w:rsidRPr="00DA23C5">
              <w:rPr>
                <w:rFonts w:ascii="Verdana" w:hAnsi="Verdana" w:cs="Arial"/>
                <w:sz w:val="18"/>
                <w:szCs w:val="18"/>
                <w:lang w:eastAsia="it-IT"/>
              </w:rPr>
              <w:t>anno</w:t>
            </w:r>
            <w:proofErr w:type="gramEnd"/>
            <w:r w:rsidRPr="00DA23C5">
              <w:rPr>
                <w:rFonts w:ascii="Verdana" w:hAnsi="Verdana" w:cs="Arial"/>
                <w:sz w:val="18"/>
                <w:szCs w:val="18"/>
                <w:lang w:eastAsia="it-IT"/>
              </w:rPr>
              <w:t xml:space="preserve"> 2023: </w:t>
            </w:r>
            <w:proofErr w:type="spellStart"/>
            <w:r w:rsidRPr="00DA23C5">
              <w:rPr>
                <w:rFonts w:ascii="Verdana" w:hAnsi="Verdana" w:cs="Arial"/>
                <w:sz w:val="18"/>
                <w:szCs w:val="18"/>
                <w:lang w:eastAsia="it-IT"/>
              </w:rPr>
              <w:t>efficentamento</w:t>
            </w:r>
            <w:proofErr w:type="spellEnd"/>
            <w:r w:rsidRPr="00DA23C5">
              <w:rPr>
                <w:rFonts w:ascii="Verdana" w:hAnsi="Verdana" w:cs="Arial"/>
                <w:sz w:val="18"/>
                <w:szCs w:val="18"/>
                <w:lang w:eastAsia="it-IT"/>
              </w:rPr>
              <w:t xml:space="preserve"> del 25%-&gt; 984 </w:t>
            </w:r>
            <w:proofErr w:type="spellStart"/>
            <w:r w:rsidRPr="00DA23C5">
              <w:rPr>
                <w:rFonts w:ascii="Verdana" w:hAnsi="Verdana" w:cs="Arial"/>
                <w:sz w:val="18"/>
                <w:szCs w:val="18"/>
                <w:lang w:eastAsia="it-IT"/>
              </w:rPr>
              <w:t>Keuro</w:t>
            </w:r>
            <w:proofErr w:type="spellEnd"/>
          </w:p>
        </w:tc>
        <w:tc>
          <w:tcPr>
            <w:tcW w:w="1139" w:type="dxa"/>
            <w:tcBorders>
              <w:top w:val="nil"/>
              <w:left w:val="nil"/>
              <w:bottom w:val="nil"/>
              <w:right w:val="nil"/>
            </w:tcBorders>
            <w:shd w:val="clear" w:color="auto" w:fill="auto"/>
            <w:vAlign w:val="center"/>
            <w:hideMark/>
          </w:tcPr>
          <w:p w:rsidR="00621C9B" w:rsidRPr="00DA23C5" w:rsidRDefault="00621C9B" w:rsidP="00071495">
            <w:pPr>
              <w:rPr>
                <w:rFonts w:ascii="Verdana" w:hAnsi="Verdana" w:cs="Arial"/>
                <w:sz w:val="18"/>
                <w:szCs w:val="18"/>
                <w:lang w:eastAsia="it-IT"/>
              </w:rPr>
            </w:pPr>
          </w:p>
        </w:tc>
      </w:tr>
    </w:tbl>
    <w:p w:rsidR="00DA23C5" w:rsidRPr="00DA23C5" w:rsidRDefault="00DA23C5" w:rsidP="00DA23C5">
      <w:pPr>
        <w:widowControl w:val="0"/>
        <w:tabs>
          <w:tab w:val="left" w:pos="284"/>
          <w:tab w:val="left" w:pos="4536"/>
        </w:tabs>
        <w:jc w:val="center"/>
        <w:rPr>
          <w:rFonts w:ascii="Verdana" w:hAnsi="Verdana"/>
          <w:b/>
          <w:sz w:val="18"/>
          <w:szCs w:val="18"/>
          <w:lang w:eastAsia="it-IT"/>
        </w:rPr>
      </w:pPr>
    </w:p>
    <w:p w:rsidR="00DA23C5" w:rsidRPr="00DA23C5" w:rsidRDefault="00DA23C5" w:rsidP="00DA23C5">
      <w:pPr>
        <w:widowControl w:val="0"/>
        <w:tabs>
          <w:tab w:val="left" w:pos="284"/>
          <w:tab w:val="left" w:pos="4536"/>
        </w:tabs>
        <w:jc w:val="center"/>
        <w:rPr>
          <w:rFonts w:ascii="Verdana" w:hAnsi="Verdana"/>
          <w:b/>
          <w:sz w:val="18"/>
          <w:szCs w:val="18"/>
          <w:lang w:eastAsia="it-IT"/>
        </w:rPr>
      </w:pPr>
      <w:r w:rsidRPr="00DA23C5">
        <w:rPr>
          <w:rFonts w:ascii="Verdana" w:hAnsi="Verdana"/>
          <w:b/>
          <w:sz w:val="18"/>
          <w:szCs w:val="18"/>
          <w:lang w:eastAsia="it-IT"/>
        </w:rPr>
        <w:t>ASSEMBLEA DEI SOCI DEL 30.01.2023 ORDINARIA</w:t>
      </w:r>
    </w:p>
    <w:p w:rsidR="00DA23C5" w:rsidRPr="00DA23C5" w:rsidRDefault="00DA23C5" w:rsidP="00DA23C5">
      <w:pPr>
        <w:widowControl w:val="0"/>
        <w:tabs>
          <w:tab w:val="left" w:pos="284"/>
          <w:tab w:val="left" w:pos="4536"/>
        </w:tabs>
        <w:jc w:val="center"/>
        <w:rPr>
          <w:rFonts w:ascii="Verdana" w:hAnsi="Verdana"/>
          <w:b/>
          <w:sz w:val="18"/>
          <w:szCs w:val="18"/>
          <w:lang w:eastAsia="it-IT"/>
        </w:rPr>
      </w:pPr>
      <w:r w:rsidRPr="00DA23C5">
        <w:rPr>
          <w:rFonts w:ascii="Verdana" w:hAnsi="Verdana"/>
          <w:b/>
          <w:sz w:val="18"/>
          <w:szCs w:val="18"/>
          <w:lang w:eastAsia="it-IT"/>
        </w:rPr>
        <w:t xml:space="preserve">DELIBERAZIONE N. 1/2023 </w:t>
      </w:r>
    </w:p>
    <w:p w:rsidR="00DA23C5" w:rsidRPr="00DA23C5" w:rsidRDefault="00DA23C5" w:rsidP="00DA23C5">
      <w:pPr>
        <w:widowControl w:val="0"/>
        <w:tabs>
          <w:tab w:val="left" w:pos="284"/>
          <w:tab w:val="left" w:pos="4536"/>
        </w:tabs>
        <w:jc w:val="center"/>
        <w:rPr>
          <w:rFonts w:ascii="Verdana" w:hAnsi="Verdana"/>
          <w:b/>
          <w:sz w:val="18"/>
          <w:szCs w:val="18"/>
          <w:lang w:eastAsia="it-IT"/>
        </w:rPr>
      </w:pPr>
      <w:r w:rsidRPr="00DA23C5">
        <w:rPr>
          <w:rFonts w:ascii="Verdana" w:hAnsi="Verdana"/>
          <w:b/>
          <w:sz w:val="18"/>
          <w:szCs w:val="18"/>
          <w:lang w:eastAsia="it-IT"/>
        </w:rPr>
        <w:t>DISPOSITIVO DELIBERATIVO</w:t>
      </w:r>
    </w:p>
    <w:p w:rsidR="00DA23C5" w:rsidRPr="00DA23C5" w:rsidRDefault="00DA23C5" w:rsidP="00DA23C5">
      <w:pPr>
        <w:widowControl w:val="0"/>
        <w:tabs>
          <w:tab w:val="left" w:pos="284"/>
          <w:tab w:val="left" w:pos="4536"/>
        </w:tabs>
        <w:jc w:val="center"/>
        <w:rPr>
          <w:rFonts w:ascii="Verdana" w:hAnsi="Verdana"/>
          <w:b/>
          <w:sz w:val="18"/>
          <w:szCs w:val="18"/>
          <w:lang w:eastAsia="it-IT"/>
        </w:rPr>
      </w:pPr>
      <w:r w:rsidRPr="00DA23C5">
        <w:rPr>
          <w:rFonts w:ascii="Verdana" w:hAnsi="Verdana"/>
          <w:b/>
          <w:sz w:val="18"/>
          <w:szCs w:val="18"/>
          <w:lang w:eastAsia="it-IT"/>
        </w:rPr>
        <w:t>OMISSIS</w:t>
      </w:r>
    </w:p>
    <w:p w:rsidR="00797CD8" w:rsidRPr="00722243" w:rsidRDefault="00797CD8" w:rsidP="00797CD8">
      <w:pPr>
        <w:widowControl w:val="0"/>
        <w:ind w:right="-1"/>
        <w:jc w:val="both"/>
        <w:rPr>
          <w:rFonts w:ascii="Verdana" w:hAnsi="Verdana"/>
          <w:sz w:val="18"/>
          <w:szCs w:val="18"/>
          <w:lang w:eastAsia="it-IT"/>
        </w:rPr>
      </w:pPr>
      <w:bookmarkStart w:id="0" w:name="_GoBack"/>
      <w:bookmarkEnd w:id="0"/>
      <w:r w:rsidRPr="00722243">
        <w:rPr>
          <w:rFonts w:ascii="Verdana" w:hAnsi="Verdana"/>
          <w:sz w:val="18"/>
          <w:szCs w:val="18"/>
          <w:lang w:eastAsia="it-IT"/>
        </w:rPr>
        <w:t xml:space="preserve">- di approvare la Relazione sul preconsuntivo 2022 - Relazione previsionale di Budget 2023 </w:t>
      </w:r>
      <w:proofErr w:type="spellStart"/>
      <w:r w:rsidRPr="00722243">
        <w:rPr>
          <w:rFonts w:ascii="Verdana" w:hAnsi="Verdana"/>
          <w:sz w:val="18"/>
          <w:szCs w:val="18"/>
          <w:lang w:eastAsia="it-IT"/>
        </w:rPr>
        <w:t>prot</w:t>
      </w:r>
      <w:proofErr w:type="spellEnd"/>
      <w:r w:rsidRPr="00722243">
        <w:rPr>
          <w:rFonts w:ascii="Verdana" w:hAnsi="Verdana"/>
          <w:sz w:val="18"/>
          <w:szCs w:val="18"/>
          <w:lang w:eastAsia="it-IT"/>
        </w:rPr>
        <w:t>. n. 12280 del 28.11.2022, tenute in copia agli atti dell’Assemblea dei Soci;</w:t>
      </w:r>
    </w:p>
    <w:p w:rsidR="00797CD8" w:rsidRPr="00722243" w:rsidRDefault="00797CD8" w:rsidP="00797CD8">
      <w:pPr>
        <w:widowControl w:val="0"/>
        <w:ind w:right="-1"/>
        <w:jc w:val="both"/>
        <w:rPr>
          <w:rFonts w:ascii="Verdana" w:hAnsi="Verdana"/>
          <w:sz w:val="18"/>
          <w:szCs w:val="18"/>
          <w:lang w:eastAsia="it-IT"/>
        </w:rPr>
      </w:pPr>
      <w:r w:rsidRPr="00722243">
        <w:rPr>
          <w:rFonts w:ascii="Verdana" w:hAnsi="Verdana"/>
          <w:sz w:val="18"/>
          <w:szCs w:val="18"/>
          <w:lang w:eastAsia="it-IT"/>
        </w:rPr>
        <w:t xml:space="preserve">- di autorizzare il Consiglio di Amministrazione, ferma restando la responsabilità del medesimo, ai sensi dell'art. 2364 Cod. </w:t>
      </w:r>
      <w:proofErr w:type="spellStart"/>
      <w:proofErr w:type="gramStart"/>
      <w:r w:rsidRPr="00722243">
        <w:rPr>
          <w:rFonts w:ascii="Verdana" w:hAnsi="Verdana"/>
          <w:sz w:val="18"/>
          <w:szCs w:val="18"/>
          <w:lang w:eastAsia="it-IT"/>
        </w:rPr>
        <w:t>Civ</w:t>
      </w:r>
      <w:proofErr w:type="spellEnd"/>
      <w:r w:rsidRPr="00722243">
        <w:rPr>
          <w:rFonts w:ascii="Verdana" w:hAnsi="Verdana"/>
          <w:sz w:val="18"/>
          <w:szCs w:val="18"/>
          <w:lang w:eastAsia="it-IT"/>
        </w:rPr>
        <w:t>.,</w:t>
      </w:r>
      <w:proofErr w:type="gramEnd"/>
      <w:r w:rsidRPr="00722243">
        <w:rPr>
          <w:rFonts w:ascii="Verdana" w:hAnsi="Verdana"/>
          <w:sz w:val="18"/>
          <w:szCs w:val="18"/>
          <w:lang w:eastAsia="it-IT"/>
        </w:rPr>
        <w:t xml:space="preserve"> al compimento di tutti gli atti e le operazioni contemplate nei documenti sopra approvati, ai sensi dell’art. 20 dello Statuto sociale, e ad adottare i provvedimenti conseguenti indicati all’art. 20, nei modi ivi previsti;</w:t>
      </w:r>
    </w:p>
    <w:p w:rsidR="00DA23C5" w:rsidRPr="00DA23C5" w:rsidRDefault="00797CD8" w:rsidP="00797CD8">
      <w:pPr>
        <w:widowControl w:val="0"/>
        <w:ind w:right="-1"/>
        <w:jc w:val="both"/>
        <w:rPr>
          <w:rFonts w:ascii="Verdana" w:hAnsi="Verdana"/>
          <w:sz w:val="18"/>
          <w:szCs w:val="18"/>
          <w:lang w:eastAsia="it-IT"/>
        </w:rPr>
      </w:pPr>
      <w:r w:rsidRPr="00722243">
        <w:rPr>
          <w:rFonts w:ascii="Verdana" w:hAnsi="Verdana"/>
          <w:sz w:val="18"/>
          <w:szCs w:val="18"/>
          <w:lang w:eastAsia="it-IT"/>
        </w:rPr>
        <w:t>- di ratificare l’operato del Consiglio di Amministrazione, del Presidente e dei Procuratori dal primo gennaio 2023 alla data odierna per le motivazioni espresse in precedenza nella parte descrittiva della Relazione del Presidente</w:t>
      </w:r>
      <w:r w:rsidR="00DA23C5" w:rsidRPr="00722243">
        <w:rPr>
          <w:rFonts w:ascii="Verdana" w:hAnsi="Verdana"/>
          <w:sz w:val="18"/>
          <w:szCs w:val="18"/>
          <w:lang w:eastAsia="it-IT"/>
        </w:rPr>
        <w:t>.</w:t>
      </w:r>
    </w:p>
    <w:p w:rsidR="00DA23C5" w:rsidRPr="00DA23C5" w:rsidRDefault="00DA23C5" w:rsidP="00DA23C5">
      <w:pPr>
        <w:widowControl w:val="0"/>
        <w:jc w:val="center"/>
        <w:rPr>
          <w:rFonts w:ascii="Verdana" w:hAnsi="Verdana"/>
          <w:b/>
          <w:sz w:val="18"/>
          <w:szCs w:val="18"/>
          <w:lang w:eastAsia="it-IT"/>
        </w:rPr>
      </w:pPr>
      <w:r w:rsidRPr="00DA23C5">
        <w:rPr>
          <w:rFonts w:ascii="Verdana" w:hAnsi="Verdana"/>
          <w:b/>
          <w:sz w:val="18"/>
          <w:szCs w:val="18"/>
          <w:lang w:eastAsia="it-IT"/>
        </w:rPr>
        <w:t>OMISSIS</w:t>
      </w:r>
    </w:p>
    <w:sectPr w:rsidR="00DA23C5" w:rsidRPr="00DA23C5" w:rsidSect="00285866">
      <w:headerReference w:type="default" r:id="rId13"/>
      <w:footerReference w:type="default" r:id="rId14"/>
      <w:pgSz w:w="11906" w:h="16838"/>
      <w:pgMar w:top="1418"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040" w:rsidRDefault="00452040">
      <w:r>
        <w:separator/>
      </w:r>
    </w:p>
  </w:endnote>
  <w:endnote w:type="continuationSeparator" w:id="0">
    <w:p w:rsidR="00452040" w:rsidRDefault="0045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40" w:rsidRDefault="00452040">
    <w:pPr>
      <w:pStyle w:val="Pidipagina"/>
      <w:jc w:val="right"/>
    </w:pPr>
    <w:r>
      <w:t xml:space="preserve">Pagina | </w:t>
    </w:r>
    <w:r>
      <w:fldChar w:fldCharType="begin"/>
    </w:r>
    <w:r>
      <w:instrText>PAGE   \* MERGEFORMAT</w:instrText>
    </w:r>
    <w:r>
      <w:fldChar w:fldCharType="separate"/>
    </w:r>
    <w:r w:rsidR="00722243">
      <w:rPr>
        <w:noProof/>
      </w:rPr>
      <w:t>11</w:t>
    </w:r>
    <w:r>
      <w:fldChar w:fldCharType="end"/>
    </w:r>
    <w:r>
      <w:t>/</w:t>
    </w:r>
    <w:r>
      <w:rPr>
        <w:noProof/>
      </w:rPr>
      <w:fldChar w:fldCharType="begin"/>
    </w:r>
    <w:r>
      <w:rPr>
        <w:noProof/>
      </w:rPr>
      <w:instrText xml:space="preserve"> NUMPAGES   \* MERGEFORMAT </w:instrText>
    </w:r>
    <w:r>
      <w:rPr>
        <w:noProof/>
      </w:rPr>
      <w:fldChar w:fldCharType="separate"/>
    </w:r>
    <w:r w:rsidR="00722243">
      <w:rPr>
        <w:noProof/>
      </w:rPr>
      <w:t>11</w:t>
    </w:r>
    <w:r>
      <w:rPr>
        <w:noProof/>
      </w:rPr>
      <w:fldChar w:fldCharType="end"/>
    </w:r>
    <w:r>
      <w:t xml:space="preserve"> </w:t>
    </w:r>
  </w:p>
  <w:p w:rsidR="00452040" w:rsidRDefault="004520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040" w:rsidRDefault="00452040">
      <w:r>
        <w:separator/>
      </w:r>
    </w:p>
  </w:footnote>
  <w:footnote w:type="continuationSeparator" w:id="0">
    <w:p w:rsidR="00452040" w:rsidRDefault="00452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40" w:rsidRPr="00A65E36" w:rsidRDefault="00452040">
    <w:pPr>
      <w:pStyle w:val="Intestazione"/>
      <w:jc w:val="center"/>
      <w:rPr>
        <w:rFonts w:ascii="Verdana" w:hAnsi="Verdana"/>
      </w:rPr>
    </w:pPr>
    <w:r w:rsidRPr="00A65E36">
      <w:rPr>
        <w:rFonts w:ascii="Verdana" w:hAnsi="Verdana"/>
      </w:rPr>
      <w:t xml:space="preserve">Romagna Acque – Società delle Fonti S.p.A.  </w:t>
    </w:r>
  </w:p>
  <w:p w:rsidR="00452040" w:rsidRDefault="00452040" w:rsidP="00FF5E87">
    <w:pPr>
      <w:pStyle w:val="Intestazione"/>
      <w:jc w:val="center"/>
    </w:pPr>
    <w:r>
      <w:t>Relazione previsionale ex art.20 dello Statuto. Budget 2023 e Piano 2022-2023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62013"/>
    <w:multiLevelType w:val="hybridMultilevel"/>
    <w:tmpl w:val="D9CAC1EE"/>
    <w:lvl w:ilvl="0" w:tplc="1FE27A4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4516BE"/>
    <w:multiLevelType w:val="hybridMultilevel"/>
    <w:tmpl w:val="48623E2E"/>
    <w:lvl w:ilvl="0" w:tplc="04100003">
      <w:start w:val="1"/>
      <w:numFmt w:val="bullet"/>
      <w:lvlText w:val="o"/>
      <w:lvlJc w:val="left"/>
      <w:pPr>
        <w:ind w:left="1353" w:hanging="360"/>
      </w:pPr>
      <w:rPr>
        <w:rFonts w:ascii="Courier New" w:hAnsi="Courier New" w:cs="Courier New"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2061655F"/>
    <w:multiLevelType w:val="hybridMultilevel"/>
    <w:tmpl w:val="601C6F24"/>
    <w:lvl w:ilvl="0" w:tplc="62C45AD4">
      <w:start w:val="1"/>
      <w:numFmt w:val="bullet"/>
      <w:lvlText w:val="-"/>
      <w:lvlJc w:val="left"/>
      <w:pPr>
        <w:ind w:left="1068" w:hanging="360"/>
      </w:pPr>
      <w:rPr>
        <w:rFonts w:ascii="CG Omega" w:hAnsi="CG Omeg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5975C5D"/>
    <w:multiLevelType w:val="multilevel"/>
    <w:tmpl w:val="6E0E7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23E9C"/>
    <w:multiLevelType w:val="hybridMultilevel"/>
    <w:tmpl w:val="ECF03C1A"/>
    <w:lvl w:ilvl="0" w:tplc="848A09E4">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9A2EB7"/>
    <w:multiLevelType w:val="hybridMultilevel"/>
    <w:tmpl w:val="BA24B18A"/>
    <w:lvl w:ilvl="0" w:tplc="E196F67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AAB1806"/>
    <w:multiLevelType w:val="hybridMultilevel"/>
    <w:tmpl w:val="37287E04"/>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2E9C43A0"/>
    <w:multiLevelType w:val="hybridMultilevel"/>
    <w:tmpl w:val="00006A62"/>
    <w:lvl w:ilvl="0" w:tplc="1EA4EB22">
      <w:start w:val="9"/>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331FFC"/>
    <w:multiLevelType w:val="hybridMultilevel"/>
    <w:tmpl w:val="6950BC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93E474C"/>
    <w:multiLevelType w:val="hybridMultilevel"/>
    <w:tmpl w:val="C67638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191A85"/>
    <w:multiLevelType w:val="hybridMultilevel"/>
    <w:tmpl w:val="A716A95A"/>
    <w:lvl w:ilvl="0" w:tplc="0F966C14">
      <w:start w:val="1"/>
      <w:numFmt w:val="lowerLetter"/>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12" w15:restartNumberingAfterBreak="0">
    <w:nsid w:val="3AC72CC7"/>
    <w:multiLevelType w:val="hybridMultilevel"/>
    <w:tmpl w:val="15444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F45E42"/>
    <w:multiLevelType w:val="hybridMultilevel"/>
    <w:tmpl w:val="A4C0C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C34823"/>
    <w:multiLevelType w:val="singleLevel"/>
    <w:tmpl w:val="08002C86"/>
    <w:lvl w:ilvl="0">
      <w:numFmt w:val="bullet"/>
      <w:lvlText w:val="-"/>
      <w:lvlJc w:val="left"/>
      <w:pPr>
        <w:tabs>
          <w:tab w:val="num" w:pos="384"/>
        </w:tabs>
        <w:ind w:left="384" w:hanging="384"/>
      </w:pPr>
      <w:rPr>
        <w:rFonts w:hint="default"/>
      </w:rPr>
    </w:lvl>
  </w:abstractNum>
  <w:abstractNum w:abstractNumId="15" w15:restartNumberingAfterBreak="0">
    <w:nsid w:val="4FB05833"/>
    <w:multiLevelType w:val="hybridMultilevel"/>
    <w:tmpl w:val="CE4CD572"/>
    <w:lvl w:ilvl="0" w:tplc="BA723856">
      <w:numFmt w:val="bullet"/>
      <w:lvlText w:val="-"/>
      <w:lvlJc w:val="left"/>
      <w:pPr>
        <w:ind w:left="1068" w:hanging="360"/>
      </w:pPr>
      <w:rPr>
        <w:rFonts w:ascii="Verdana" w:eastAsia="Times New Roman" w:hAnsi="Verdana"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53B76C45"/>
    <w:multiLevelType w:val="hybridMultilevel"/>
    <w:tmpl w:val="C6A68954"/>
    <w:lvl w:ilvl="0" w:tplc="04100001">
      <w:start w:val="1"/>
      <w:numFmt w:val="bullet"/>
      <w:lvlText w:val=""/>
      <w:lvlJc w:val="left"/>
      <w:pPr>
        <w:ind w:left="720" w:hanging="360"/>
      </w:pPr>
      <w:rPr>
        <w:rFonts w:ascii="Symbol" w:hAnsi="Symbol" w:hint="default"/>
      </w:rPr>
    </w:lvl>
    <w:lvl w:ilvl="1" w:tplc="343E9A88">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DC121F"/>
    <w:multiLevelType w:val="hybridMultilevel"/>
    <w:tmpl w:val="E37CC702"/>
    <w:lvl w:ilvl="0" w:tplc="0C2C674A">
      <w:numFmt w:val="bullet"/>
      <w:lvlText w:val="-"/>
      <w:lvlJc w:val="left"/>
      <w:pPr>
        <w:ind w:left="360" w:hanging="360"/>
      </w:pPr>
      <w:rPr>
        <w:rFonts w:ascii="Verdana" w:eastAsiaTheme="minorHAnsi" w:hAnsi="Verdan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63B6DF3"/>
    <w:multiLevelType w:val="singleLevel"/>
    <w:tmpl w:val="FFFFFFFF"/>
    <w:lvl w:ilvl="0">
      <w:numFmt w:val="bullet"/>
      <w:lvlText w:val="-"/>
      <w:legacy w:legacy="1" w:legacySpace="0" w:legacyIndent="360"/>
      <w:lvlJc w:val="left"/>
      <w:pPr>
        <w:ind w:left="360" w:hanging="360"/>
      </w:pPr>
    </w:lvl>
  </w:abstractNum>
  <w:abstractNum w:abstractNumId="19" w15:restartNumberingAfterBreak="0">
    <w:nsid w:val="578D0467"/>
    <w:multiLevelType w:val="hybridMultilevel"/>
    <w:tmpl w:val="A66AB1C4"/>
    <w:lvl w:ilvl="0" w:tplc="6D6678E6">
      <w:start w:val="2"/>
      <w:numFmt w:val="bullet"/>
      <w:lvlText w:val="-"/>
      <w:lvlJc w:val="left"/>
      <w:pPr>
        <w:ind w:left="360" w:hanging="360"/>
      </w:pPr>
      <w:rPr>
        <w:rFonts w:ascii="CG Omega" w:eastAsia="Times New Roman" w:hAnsi="CG Omeg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BE0F62"/>
    <w:multiLevelType w:val="hybridMultilevel"/>
    <w:tmpl w:val="3FC846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0E04C3"/>
    <w:multiLevelType w:val="hybridMultilevel"/>
    <w:tmpl w:val="DDFCCDB8"/>
    <w:lvl w:ilvl="0" w:tplc="04100001">
      <w:start w:val="1"/>
      <w:numFmt w:val="bullet"/>
      <w:lvlText w:val=""/>
      <w:lvlJc w:val="left"/>
      <w:pPr>
        <w:ind w:left="2771" w:hanging="360"/>
      </w:pPr>
      <w:rPr>
        <w:rFonts w:ascii="Symbol" w:hAnsi="Symbol" w:hint="default"/>
      </w:rPr>
    </w:lvl>
    <w:lvl w:ilvl="1" w:tplc="04100003" w:tentative="1">
      <w:start w:val="1"/>
      <w:numFmt w:val="bullet"/>
      <w:lvlText w:val="o"/>
      <w:lvlJc w:val="left"/>
      <w:pPr>
        <w:ind w:left="3491" w:hanging="360"/>
      </w:pPr>
      <w:rPr>
        <w:rFonts w:ascii="Courier New" w:hAnsi="Courier New" w:cs="Courier New" w:hint="default"/>
      </w:rPr>
    </w:lvl>
    <w:lvl w:ilvl="2" w:tplc="04100005" w:tentative="1">
      <w:start w:val="1"/>
      <w:numFmt w:val="bullet"/>
      <w:lvlText w:val=""/>
      <w:lvlJc w:val="left"/>
      <w:pPr>
        <w:ind w:left="4211" w:hanging="360"/>
      </w:pPr>
      <w:rPr>
        <w:rFonts w:ascii="Wingdings" w:hAnsi="Wingdings" w:hint="default"/>
      </w:rPr>
    </w:lvl>
    <w:lvl w:ilvl="3" w:tplc="04100001" w:tentative="1">
      <w:start w:val="1"/>
      <w:numFmt w:val="bullet"/>
      <w:lvlText w:val=""/>
      <w:lvlJc w:val="left"/>
      <w:pPr>
        <w:ind w:left="4931" w:hanging="360"/>
      </w:pPr>
      <w:rPr>
        <w:rFonts w:ascii="Symbol" w:hAnsi="Symbol" w:hint="default"/>
      </w:rPr>
    </w:lvl>
    <w:lvl w:ilvl="4" w:tplc="04100003" w:tentative="1">
      <w:start w:val="1"/>
      <w:numFmt w:val="bullet"/>
      <w:lvlText w:val="o"/>
      <w:lvlJc w:val="left"/>
      <w:pPr>
        <w:ind w:left="5651" w:hanging="360"/>
      </w:pPr>
      <w:rPr>
        <w:rFonts w:ascii="Courier New" w:hAnsi="Courier New" w:cs="Courier New" w:hint="default"/>
      </w:rPr>
    </w:lvl>
    <w:lvl w:ilvl="5" w:tplc="04100005" w:tentative="1">
      <w:start w:val="1"/>
      <w:numFmt w:val="bullet"/>
      <w:lvlText w:val=""/>
      <w:lvlJc w:val="left"/>
      <w:pPr>
        <w:ind w:left="6371" w:hanging="360"/>
      </w:pPr>
      <w:rPr>
        <w:rFonts w:ascii="Wingdings" w:hAnsi="Wingdings" w:hint="default"/>
      </w:rPr>
    </w:lvl>
    <w:lvl w:ilvl="6" w:tplc="04100001" w:tentative="1">
      <w:start w:val="1"/>
      <w:numFmt w:val="bullet"/>
      <w:lvlText w:val=""/>
      <w:lvlJc w:val="left"/>
      <w:pPr>
        <w:ind w:left="7091" w:hanging="360"/>
      </w:pPr>
      <w:rPr>
        <w:rFonts w:ascii="Symbol" w:hAnsi="Symbol" w:hint="default"/>
      </w:rPr>
    </w:lvl>
    <w:lvl w:ilvl="7" w:tplc="04100003" w:tentative="1">
      <w:start w:val="1"/>
      <w:numFmt w:val="bullet"/>
      <w:lvlText w:val="o"/>
      <w:lvlJc w:val="left"/>
      <w:pPr>
        <w:ind w:left="7811" w:hanging="360"/>
      </w:pPr>
      <w:rPr>
        <w:rFonts w:ascii="Courier New" w:hAnsi="Courier New" w:cs="Courier New" w:hint="default"/>
      </w:rPr>
    </w:lvl>
    <w:lvl w:ilvl="8" w:tplc="04100005" w:tentative="1">
      <w:start w:val="1"/>
      <w:numFmt w:val="bullet"/>
      <w:lvlText w:val=""/>
      <w:lvlJc w:val="left"/>
      <w:pPr>
        <w:ind w:left="8531" w:hanging="360"/>
      </w:pPr>
      <w:rPr>
        <w:rFonts w:ascii="Wingdings" w:hAnsi="Wingdings" w:hint="default"/>
      </w:rPr>
    </w:lvl>
  </w:abstractNum>
  <w:abstractNum w:abstractNumId="22" w15:restartNumberingAfterBreak="0">
    <w:nsid w:val="6BBB3256"/>
    <w:multiLevelType w:val="hybridMultilevel"/>
    <w:tmpl w:val="E934F66E"/>
    <w:lvl w:ilvl="0" w:tplc="9C528F6E">
      <w:start w:val="3"/>
      <w:numFmt w:val="bullet"/>
      <w:lvlText w:val="-"/>
      <w:lvlJc w:val="left"/>
      <w:pPr>
        <w:ind w:left="928" w:hanging="360"/>
      </w:pPr>
      <w:rPr>
        <w:rFonts w:ascii="Verdana" w:eastAsia="Times New Roman" w:hAnsi="Verdana" w:cs="Times New Roman" w:hint="default"/>
        <w:i/>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3" w15:restartNumberingAfterBreak="0">
    <w:nsid w:val="6D7328EB"/>
    <w:multiLevelType w:val="singleLevel"/>
    <w:tmpl w:val="08002C86"/>
    <w:lvl w:ilvl="0">
      <w:numFmt w:val="bullet"/>
      <w:lvlText w:val="-"/>
      <w:lvlJc w:val="left"/>
      <w:pPr>
        <w:tabs>
          <w:tab w:val="num" w:pos="384"/>
        </w:tabs>
        <w:ind w:left="384" w:hanging="384"/>
      </w:pPr>
      <w:rPr>
        <w:rFonts w:hint="default"/>
      </w:rPr>
    </w:lvl>
  </w:abstractNum>
  <w:abstractNum w:abstractNumId="24" w15:restartNumberingAfterBreak="0">
    <w:nsid w:val="6DA050E1"/>
    <w:multiLevelType w:val="hybridMultilevel"/>
    <w:tmpl w:val="F6825D94"/>
    <w:lvl w:ilvl="0" w:tplc="7A20ABAE">
      <w:numFmt w:val="bullet"/>
      <w:lvlText w:val="-"/>
      <w:lvlJc w:val="left"/>
      <w:pPr>
        <w:ind w:left="720" w:hanging="360"/>
      </w:pPr>
      <w:rPr>
        <w:rFonts w:ascii="CG Omega" w:eastAsia="Times New Roman" w:hAnsi="CG Omega"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17F5645"/>
    <w:multiLevelType w:val="hybridMultilevel"/>
    <w:tmpl w:val="A716A95A"/>
    <w:lvl w:ilvl="0" w:tplc="0F966C14">
      <w:start w:val="1"/>
      <w:numFmt w:val="lowerLetter"/>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26" w15:restartNumberingAfterBreak="0">
    <w:nsid w:val="735E350E"/>
    <w:multiLevelType w:val="multilevel"/>
    <w:tmpl w:val="3A369BDA"/>
    <w:lvl w:ilvl="0">
      <w:start w:val="1"/>
      <w:numFmt w:val="decimal"/>
      <w:lvlText w:val="%1"/>
      <w:lvlJc w:val="left"/>
      <w:pPr>
        <w:ind w:left="855" w:hanging="855"/>
      </w:pPr>
      <w:rPr>
        <w:rFonts w:hint="default"/>
      </w:rPr>
    </w:lvl>
    <w:lvl w:ilvl="1">
      <w:start w:val="295"/>
      <w:numFmt w:val="decimal"/>
      <w:lvlText w:val="%1.%2"/>
      <w:lvlJc w:val="left"/>
      <w:pPr>
        <w:ind w:left="1080" w:hanging="855"/>
      </w:pPr>
      <w:rPr>
        <w:rFonts w:hint="default"/>
      </w:rPr>
    </w:lvl>
    <w:lvl w:ilvl="2">
      <w:start w:val="137"/>
      <w:numFmt w:val="decimal"/>
      <w:lvlText w:val="%1.%2.%3"/>
      <w:lvlJc w:val="left"/>
      <w:pPr>
        <w:ind w:left="1305" w:hanging="85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2340" w:hanging="1440"/>
      </w:pPr>
      <w:rPr>
        <w:rFonts w:hint="default"/>
      </w:rPr>
    </w:lvl>
    <w:lvl w:ilvl="5">
      <w:start w:val="1"/>
      <w:numFmt w:val="decimal"/>
      <w:lvlText w:val="%1.%2.%3.%4.%5.%6"/>
      <w:lvlJc w:val="left"/>
      <w:pPr>
        <w:ind w:left="2925" w:hanging="180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735" w:hanging="2160"/>
      </w:pPr>
      <w:rPr>
        <w:rFonts w:hint="default"/>
      </w:rPr>
    </w:lvl>
    <w:lvl w:ilvl="8">
      <w:start w:val="1"/>
      <w:numFmt w:val="decimal"/>
      <w:lvlText w:val="%1.%2.%3.%4.%5.%6.%7.%8.%9"/>
      <w:lvlJc w:val="left"/>
      <w:pPr>
        <w:ind w:left="4320" w:hanging="2520"/>
      </w:pPr>
      <w:rPr>
        <w:rFonts w:hint="default"/>
      </w:rPr>
    </w:lvl>
  </w:abstractNum>
  <w:abstractNum w:abstractNumId="27" w15:restartNumberingAfterBreak="0">
    <w:nsid w:val="750C18D9"/>
    <w:multiLevelType w:val="hybridMultilevel"/>
    <w:tmpl w:val="B0BA4EB2"/>
    <w:lvl w:ilvl="0" w:tplc="69B25EC0">
      <w:start w:val="1"/>
      <w:numFmt w:val="decimal"/>
      <w:lvlText w:val="%1)"/>
      <w:lvlJc w:val="left"/>
      <w:pPr>
        <w:ind w:left="720" w:hanging="360"/>
      </w:pPr>
      <w:rPr>
        <w:rFonts w:ascii="CG Omega" w:eastAsia="Calibri" w:hAnsi="CG Omega" w:cs="Times New Roman"/>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6"/>
  </w:num>
  <w:num w:numId="3">
    <w:abstractNumId w:val="6"/>
  </w:num>
  <w:num w:numId="4">
    <w:abstractNumId w:val="0"/>
    <w:lvlOverride w:ilvl="0">
      <w:lvl w:ilvl="0">
        <w:numFmt w:val="bullet"/>
        <w:lvlText w:val="-"/>
        <w:legacy w:legacy="1" w:legacySpace="0" w:legacyIndent="360"/>
        <w:lvlJc w:val="left"/>
        <w:pPr>
          <w:ind w:left="360" w:hanging="360"/>
        </w:pPr>
      </w:lvl>
    </w:lvlOverride>
  </w:num>
  <w:num w:numId="5">
    <w:abstractNumId w:val="18"/>
  </w:num>
  <w:num w:numId="6">
    <w:abstractNumId w:val="14"/>
  </w:num>
  <w:num w:numId="7">
    <w:abstractNumId w:val="23"/>
  </w:num>
  <w:num w:numId="8">
    <w:abstractNumId w:val="19"/>
  </w:num>
  <w:num w:numId="9">
    <w:abstractNumId w:val="27"/>
  </w:num>
  <w:num w:numId="10">
    <w:abstractNumId w:val="5"/>
  </w:num>
  <w:num w:numId="11">
    <w:abstractNumId w:val="24"/>
  </w:num>
  <w:num w:numId="12">
    <w:abstractNumId w:val="26"/>
  </w:num>
  <w:num w:numId="13">
    <w:abstractNumId w:val="22"/>
  </w:num>
  <w:num w:numId="14">
    <w:abstractNumId w:val="12"/>
  </w:num>
  <w:num w:numId="15">
    <w:abstractNumId w:val="9"/>
  </w:num>
  <w:num w:numId="16">
    <w:abstractNumId w:val="8"/>
  </w:num>
  <w:num w:numId="17">
    <w:abstractNumId w:val="13"/>
  </w:num>
  <w:num w:numId="18">
    <w:abstractNumId w:val="1"/>
  </w:num>
  <w:num w:numId="19">
    <w:abstractNumId w:val="15"/>
  </w:num>
  <w:num w:numId="20">
    <w:abstractNumId w:val="17"/>
  </w:num>
  <w:num w:numId="21">
    <w:abstractNumId w:val="2"/>
  </w:num>
  <w:num w:numId="22">
    <w:abstractNumId w:val="3"/>
  </w:num>
  <w:num w:numId="23">
    <w:abstractNumId w:val="4"/>
  </w:num>
  <w:num w:numId="24">
    <w:abstractNumId w:val="20"/>
  </w:num>
  <w:num w:numId="25">
    <w:abstractNumId w:val="21"/>
  </w:num>
  <w:num w:numId="26">
    <w:abstractNumId w:val="10"/>
  </w:num>
  <w:num w:numId="27">
    <w:abstractNumId w:val="11"/>
  </w:num>
  <w:num w:numId="28">
    <w:abstractNumId w:val="25"/>
  </w:num>
  <w:num w:numId="29">
    <w:abstractNumId w:val="14"/>
  </w:num>
  <w:num w:numId="3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9A"/>
    <w:rsid w:val="0000015A"/>
    <w:rsid w:val="000009A8"/>
    <w:rsid w:val="00001445"/>
    <w:rsid w:val="00001601"/>
    <w:rsid w:val="0000314E"/>
    <w:rsid w:val="00003813"/>
    <w:rsid w:val="00003999"/>
    <w:rsid w:val="00004135"/>
    <w:rsid w:val="000042C6"/>
    <w:rsid w:val="00004980"/>
    <w:rsid w:val="0000546A"/>
    <w:rsid w:val="00005495"/>
    <w:rsid w:val="000057D4"/>
    <w:rsid w:val="00006E9B"/>
    <w:rsid w:val="0001013C"/>
    <w:rsid w:val="00011589"/>
    <w:rsid w:val="0001301F"/>
    <w:rsid w:val="00013FFC"/>
    <w:rsid w:val="0001458C"/>
    <w:rsid w:val="00014699"/>
    <w:rsid w:val="00014A23"/>
    <w:rsid w:val="00014AA7"/>
    <w:rsid w:val="00014B68"/>
    <w:rsid w:val="00015B16"/>
    <w:rsid w:val="00016C3E"/>
    <w:rsid w:val="000176D9"/>
    <w:rsid w:val="00017BB1"/>
    <w:rsid w:val="00017E0E"/>
    <w:rsid w:val="00020024"/>
    <w:rsid w:val="00020705"/>
    <w:rsid w:val="000210C2"/>
    <w:rsid w:val="0002361B"/>
    <w:rsid w:val="000238BC"/>
    <w:rsid w:val="00023CC6"/>
    <w:rsid w:val="00023CE8"/>
    <w:rsid w:val="00023DD0"/>
    <w:rsid w:val="00024715"/>
    <w:rsid w:val="00024BBB"/>
    <w:rsid w:val="000250FD"/>
    <w:rsid w:val="00025262"/>
    <w:rsid w:val="00026237"/>
    <w:rsid w:val="00026906"/>
    <w:rsid w:val="000269DD"/>
    <w:rsid w:val="00026CBA"/>
    <w:rsid w:val="00026D70"/>
    <w:rsid w:val="000272E4"/>
    <w:rsid w:val="0003011A"/>
    <w:rsid w:val="00031A73"/>
    <w:rsid w:val="000329BC"/>
    <w:rsid w:val="00033609"/>
    <w:rsid w:val="000337F2"/>
    <w:rsid w:val="000337FD"/>
    <w:rsid w:val="000340CB"/>
    <w:rsid w:val="0003424D"/>
    <w:rsid w:val="00034FC0"/>
    <w:rsid w:val="00034FEE"/>
    <w:rsid w:val="000358C3"/>
    <w:rsid w:val="00035A67"/>
    <w:rsid w:val="00036D1B"/>
    <w:rsid w:val="00037A40"/>
    <w:rsid w:val="00041CA7"/>
    <w:rsid w:val="00042779"/>
    <w:rsid w:val="0004280C"/>
    <w:rsid w:val="00042A2D"/>
    <w:rsid w:val="00042E0B"/>
    <w:rsid w:val="00042EE4"/>
    <w:rsid w:val="00043180"/>
    <w:rsid w:val="00043311"/>
    <w:rsid w:val="00043B2C"/>
    <w:rsid w:val="000442A2"/>
    <w:rsid w:val="00044BB4"/>
    <w:rsid w:val="00046377"/>
    <w:rsid w:val="00046796"/>
    <w:rsid w:val="00046966"/>
    <w:rsid w:val="000469BD"/>
    <w:rsid w:val="000471B7"/>
    <w:rsid w:val="00047473"/>
    <w:rsid w:val="0005087F"/>
    <w:rsid w:val="0005107A"/>
    <w:rsid w:val="000514E1"/>
    <w:rsid w:val="0005212B"/>
    <w:rsid w:val="00052418"/>
    <w:rsid w:val="000524A5"/>
    <w:rsid w:val="00052500"/>
    <w:rsid w:val="000527C2"/>
    <w:rsid w:val="00053366"/>
    <w:rsid w:val="00054CBC"/>
    <w:rsid w:val="0005551E"/>
    <w:rsid w:val="00055B35"/>
    <w:rsid w:val="00055D17"/>
    <w:rsid w:val="00055D88"/>
    <w:rsid w:val="00057F2E"/>
    <w:rsid w:val="00060CF1"/>
    <w:rsid w:val="00062120"/>
    <w:rsid w:val="00062A50"/>
    <w:rsid w:val="00063337"/>
    <w:rsid w:val="00064028"/>
    <w:rsid w:val="00064C0C"/>
    <w:rsid w:val="00065C54"/>
    <w:rsid w:val="00065ED7"/>
    <w:rsid w:val="000665B8"/>
    <w:rsid w:val="000666A1"/>
    <w:rsid w:val="00066A17"/>
    <w:rsid w:val="00066EE3"/>
    <w:rsid w:val="00067038"/>
    <w:rsid w:val="0006760B"/>
    <w:rsid w:val="00067646"/>
    <w:rsid w:val="00070789"/>
    <w:rsid w:val="000712AB"/>
    <w:rsid w:val="000713C7"/>
    <w:rsid w:val="00071495"/>
    <w:rsid w:val="00071EE7"/>
    <w:rsid w:val="0007204D"/>
    <w:rsid w:val="00072059"/>
    <w:rsid w:val="000724ED"/>
    <w:rsid w:val="00072582"/>
    <w:rsid w:val="00073967"/>
    <w:rsid w:val="00074532"/>
    <w:rsid w:val="00076463"/>
    <w:rsid w:val="00076CE8"/>
    <w:rsid w:val="00076CFC"/>
    <w:rsid w:val="000802F9"/>
    <w:rsid w:val="00081149"/>
    <w:rsid w:val="00082105"/>
    <w:rsid w:val="00082970"/>
    <w:rsid w:val="00082AF2"/>
    <w:rsid w:val="00082C55"/>
    <w:rsid w:val="0008326A"/>
    <w:rsid w:val="00083EFF"/>
    <w:rsid w:val="000845BA"/>
    <w:rsid w:val="00084AD0"/>
    <w:rsid w:val="00084CF0"/>
    <w:rsid w:val="00085364"/>
    <w:rsid w:val="000854C0"/>
    <w:rsid w:val="000865AA"/>
    <w:rsid w:val="00086C09"/>
    <w:rsid w:val="00086D6D"/>
    <w:rsid w:val="00087161"/>
    <w:rsid w:val="00087D7D"/>
    <w:rsid w:val="00090266"/>
    <w:rsid w:val="00090A4C"/>
    <w:rsid w:val="00091791"/>
    <w:rsid w:val="0009247B"/>
    <w:rsid w:val="00094014"/>
    <w:rsid w:val="000945D1"/>
    <w:rsid w:val="0009510C"/>
    <w:rsid w:val="000955F1"/>
    <w:rsid w:val="00095666"/>
    <w:rsid w:val="00095D9D"/>
    <w:rsid w:val="000963CC"/>
    <w:rsid w:val="00096C5C"/>
    <w:rsid w:val="00096D67"/>
    <w:rsid w:val="00097170"/>
    <w:rsid w:val="0009722E"/>
    <w:rsid w:val="000975F9"/>
    <w:rsid w:val="0009776F"/>
    <w:rsid w:val="000A026F"/>
    <w:rsid w:val="000A0E5A"/>
    <w:rsid w:val="000A1381"/>
    <w:rsid w:val="000A1AE6"/>
    <w:rsid w:val="000A2BA6"/>
    <w:rsid w:val="000A3176"/>
    <w:rsid w:val="000A3973"/>
    <w:rsid w:val="000A3C05"/>
    <w:rsid w:val="000A3DD4"/>
    <w:rsid w:val="000A49CA"/>
    <w:rsid w:val="000A4E61"/>
    <w:rsid w:val="000A564B"/>
    <w:rsid w:val="000A5E7B"/>
    <w:rsid w:val="000A61B7"/>
    <w:rsid w:val="000A6441"/>
    <w:rsid w:val="000A65E9"/>
    <w:rsid w:val="000A6B37"/>
    <w:rsid w:val="000B0358"/>
    <w:rsid w:val="000B0511"/>
    <w:rsid w:val="000B1C64"/>
    <w:rsid w:val="000B20F2"/>
    <w:rsid w:val="000B50BB"/>
    <w:rsid w:val="000B51AD"/>
    <w:rsid w:val="000B5B58"/>
    <w:rsid w:val="000B5D7A"/>
    <w:rsid w:val="000B6756"/>
    <w:rsid w:val="000B6850"/>
    <w:rsid w:val="000B6BCE"/>
    <w:rsid w:val="000B6D03"/>
    <w:rsid w:val="000B78A9"/>
    <w:rsid w:val="000B7B3A"/>
    <w:rsid w:val="000C08BD"/>
    <w:rsid w:val="000C0D08"/>
    <w:rsid w:val="000C1540"/>
    <w:rsid w:val="000C1611"/>
    <w:rsid w:val="000C22C5"/>
    <w:rsid w:val="000C2525"/>
    <w:rsid w:val="000C28C6"/>
    <w:rsid w:val="000C3633"/>
    <w:rsid w:val="000C3C69"/>
    <w:rsid w:val="000C465F"/>
    <w:rsid w:val="000C46B2"/>
    <w:rsid w:val="000C5B1C"/>
    <w:rsid w:val="000C650F"/>
    <w:rsid w:val="000C68EF"/>
    <w:rsid w:val="000C705F"/>
    <w:rsid w:val="000C71B0"/>
    <w:rsid w:val="000C78CD"/>
    <w:rsid w:val="000D03D5"/>
    <w:rsid w:val="000D0BD2"/>
    <w:rsid w:val="000D112A"/>
    <w:rsid w:val="000D1354"/>
    <w:rsid w:val="000D1B62"/>
    <w:rsid w:val="000D239A"/>
    <w:rsid w:val="000D3912"/>
    <w:rsid w:val="000D3CC6"/>
    <w:rsid w:val="000D4508"/>
    <w:rsid w:val="000D4662"/>
    <w:rsid w:val="000D538B"/>
    <w:rsid w:val="000D5544"/>
    <w:rsid w:val="000D58D6"/>
    <w:rsid w:val="000D63AE"/>
    <w:rsid w:val="000D696F"/>
    <w:rsid w:val="000D6D6C"/>
    <w:rsid w:val="000D6EE5"/>
    <w:rsid w:val="000D7098"/>
    <w:rsid w:val="000D726C"/>
    <w:rsid w:val="000D7334"/>
    <w:rsid w:val="000D7E4E"/>
    <w:rsid w:val="000E186F"/>
    <w:rsid w:val="000E2F7D"/>
    <w:rsid w:val="000E3317"/>
    <w:rsid w:val="000E371A"/>
    <w:rsid w:val="000E3BA4"/>
    <w:rsid w:val="000E541F"/>
    <w:rsid w:val="000E7F1C"/>
    <w:rsid w:val="000F01C1"/>
    <w:rsid w:val="000F1387"/>
    <w:rsid w:val="000F1D47"/>
    <w:rsid w:val="000F232F"/>
    <w:rsid w:val="000F2DDE"/>
    <w:rsid w:val="000F3980"/>
    <w:rsid w:val="000F3A8A"/>
    <w:rsid w:val="000F45CD"/>
    <w:rsid w:val="000F49DB"/>
    <w:rsid w:val="000F4C10"/>
    <w:rsid w:val="000F4ECF"/>
    <w:rsid w:val="000F5C38"/>
    <w:rsid w:val="000F6628"/>
    <w:rsid w:val="000F66FA"/>
    <w:rsid w:val="000F6F1F"/>
    <w:rsid w:val="000F70FE"/>
    <w:rsid w:val="000F7519"/>
    <w:rsid w:val="00100316"/>
    <w:rsid w:val="00100CE1"/>
    <w:rsid w:val="00100D9E"/>
    <w:rsid w:val="00102EC1"/>
    <w:rsid w:val="00103F52"/>
    <w:rsid w:val="001046AC"/>
    <w:rsid w:val="00104AEB"/>
    <w:rsid w:val="0010541D"/>
    <w:rsid w:val="00105503"/>
    <w:rsid w:val="001059EA"/>
    <w:rsid w:val="0010674F"/>
    <w:rsid w:val="00106F7C"/>
    <w:rsid w:val="001074E8"/>
    <w:rsid w:val="001079EE"/>
    <w:rsid w:val="00107C81"/>
    <w:rsid w:val="00110022"/>
    <w:rsid w:val="0011237B"/>
    <w:rsid w:val="0011291C"/>
    <w:rsid w:val="0011305E"/>
    <w:rsid w:val="001140FE"/>
    <w:rsid w:val="001145F6"/>
    <w:rsid w:val="0011492C"/>
    <w:rsid w:val="00115038"/>
    <w:rsid w:val="00115DD1"/>
    <w:rsid w:val="00117A2C"/>
    <w:rsid w:val="00117EC9"/>
    <w:rsid w:val="001201B1"/>
    <w:rsid w:val="001205AA"/>
    <w:rsid w:val="00121C46"/>
    <w:rsid w:val="0012210D"/>
    <w:rsid w:val="001234D8"/>
    <w:rsid w:val="00123991"/>
    <w:rsid w:val="00123D57"/>
    <w:rsid w:val="0012468F"/>
    <w:rsid w:val="0012491C"/>
    <w:rsid w:val="0012567C"/>
    <w:rsid w:val="001258CC"/>
    <w:rsid w:val="0012592A"/>
    <w:rsid w:val="0012634E"/>
    <w:rsid w:val="0012636E"/>
    <w:rsid w:val="00126A81"/>
    <w:rsid w:val="00126BAE"/>
    <w:rsid w:val="00126F74"/>
    <w:rsid w:val="001303C3"/>
    <w:rsid w:val="0013042F"/>
    <w:rsid w:val="001305FC"/>
    <w:rsid w:val="00130ACF"/>
    <w:rsid w:val="00131390"/>
    <w:rsid w:val="00131527"/>
    <w:rsid w:val="00131755"/>
    <w:rsid w:val="001328D9"/>
    <w:rsid w:val="00132A94"/>
    <w:rsid w:val="00132F50"/>
    <w:rsid w:val="00133106"/>
    <w:rsid w:val="00133253"/>
    <w:rsid w:val="001334CF"/>
    <w:rsid w:val="001347E4"/>
    <w:rsid w:val="001347F1"/>
    <w:rsid w:val="00134B5B"/>
    <w:rsid w:val="00134E15"/>
    <w:rsid w:val="00136751"/>
    <w:rsid w:val="00136815"/>
    <w:rsid w:val="00141800"/>
    <w:rsid w:val="00141E87"/>
    <w:rsid w:val="00142B67"/>
    <w:rsid w:val="00142F3C"/>
    <w:rsid w:val="00143165"/>
    <w:rsid w:val="00143684"/>
    <w:rsid w:val="0014394C"/>
    <w:rsid w:val="00144475"/>
    <w:rsid w:val="001444A4"/>
    <w:rsid w:val="00145465"/>
    <w:rsid w:val="00145B34"/>
    <w:rsid w:val="00145BA0"/>
    <w:rsid w:val="00145DF0"/>
    <w:rsid w:val="001476E3"/>
    <w:rsid w:val="00147789"/>
    <w:rsid w:val="00147B83"/>
    <w:rsid w:val="00150013"/>
    <w:rsid w:val="00150381"/>
    <w:rsid w:val="00150450"/>
    <w:rsid w:val="001506C8"/>
    <w:rsid w:val="00150FBD"/>
    <w:rsid w:val="001517DB"/>
    <w:rsid w:val="001518AD"/>
    <w:rsid w:val="00151917"/>
    <w:rsid w:val="001519E2"/>
    <w:rsid w:val="00152424"/>
    <w:rsid w:val="00152457"/>
    <w:rsid w:val="00152931"/>
    <w:rsid w:val="0015398D"/>
    <w:rsid w:val="0015421B"/>
    <w:rsid w:val="00156AF8"/>
    <w:rsid w:val="001570CB"/>
    <w:rsid w:val="001576D6"/>
    <w:rsid w:val="00160468"/>
    <w:rsid w:val="00160F02"/>
    <w:rsid w:val="001617B4"/>
    <w:rsid w:val="001619BF"/>
    <w:rsid w:val="00161A74"/>
    <w:rsid w:val="0016213C"/>
    <w:rsid w:val="00163B0A"/>
    <w:rsid w:val="001646C6"/>
    <w:rsid w:val="0016482D"/>
    <w:rsid w:val="00165D1B"/>
    <w:rsid w:val="00167569"/>
    <w:rsid w:val="00167E87"/>
    <w:rsid w:val="00171C82"/>
    <w:rsid w:val="00171DC0"/>
    <w:rsid w:val="001723A2"/>
    <w:rsid w:val="001728F7"/>
    <w:rsid w:val="00176414"/>
    <w:rsid w:val="001772D6"/>
    <w:rsid w:val="00177367"/>
    <w:rsid w:val="0017775D"/>
    <w:rsid w:val="00177C2E"/>
    <w:rsid w:val="00177E23"/>
    <w:rsid w:val="001804C4"/>
    <w:rsid w:val="00181104"/>
    <w:rsid w:val="0018157B"/>
    <w:rsid w:val="0018192D"/>
    <w:rsid w:val="00181AEF"/>
    <w:rsid w:val="00181DDD"/>
    <w:rsid w:val="00181FED"/>
    <w:rsid w:val="0018202D"/>
    <w:rsid w:val="00182335"/>
    <w:rsid w:val="0018342B"/>
    <w:rsid w:val="001835DA"/>
    <w:rsid w:val="00183CC2"/>
    <w:rsid w:val="00184D90"/>
    <w:rsid w:val="00185C03"/>
    <w:rsid w:val="0019155B"/>
    <w:rsid w:val="001915B8"/>
    <w:rsid w:val="00192359"/>
    <w:rsid w:val="00194AB3"/>
    <w:rsid w:val="0019506D"/>
    <w:rsid w:val="00195BD9"/>
    <w:rsid w:val="00195CA6"/>
    <w:rsid w:val="00195DEF"/>
    <w:rsid w:val="00197E02"/>
    <w:rsid w:val="00197FEA"/>
    <w:rsid w:val="001A0105"/>
    <w:rsid w:val="001A0F59"/>
    <w:rsid w:val="001A219F"/>
    <w:rsid w:val="001A2A47"/>
    <w:rsid w:val="001A3BC3"/>
    <w:rsid w:val="001A3D2C"/>
    <w:rsid w:val="001A4AAD"/>
    <w:rsid w:val="001A4C81"/>
    <w:rsid w:val="001A5EA9"/>
    <w:rsid w:val="001A6B78"/>
    <w:rsid w:val="001A6C9A"/>
    <w:rsid w:val="001A725B"/>
    <w:rsid w:val="001B008B"/>
    <w:rsid w:val="001B239E"/>
    <w:rsid w:val="001B2B90"/>
    <w:rsid w:val="001B2C40"/>
    <w:rsid w:val="001B2C87"/>
    <w:rsid w:val="001B318C"/>
    <w:rsid w:val="001B325B"/>
    <w:rsid w:val="001B38E9"/>
    <w:rsid w:val="001B3D11"/>
    <w:rsid w:val="001B3FB7"/>
    <w:rsid w:val="001B4A09"/>
    <w:rsid w:val="001B5A0C"/>
    <w:rsid w:val="001B70C3"/>
    <w:rsid w:val="001B723C"/>
    <w:rsid w:val="001C01B5"/>
    <w:rsid w:val="001C0914"/>
    <w:rsid w:val="001C120A"/>
    <w:rsid w:val="001C14B5"/>
    <w:rsid w:val="001C19B5"/>
    <w:rsid w:val="001C1E56"/>
    <w:rsid w:val="001C27A0"/>
    <w:rsid w:val="001C2D19"/>
    <w:rsid w:val="001C30DF"/>
    <w:rsid w:val="001C43D8"/>
    <w:rsid w:val="001C4EB4"/>
    <w:rsid w:val="001C51A0"/>
    <w:rsid w:val="001C52D5"/>
    <w:rsid w:val="001C5AAE"/>
    <w:rsid w:val="001C6597"/>
    <w:rsid w:val="001C6A12"/>
    <w:rsid w:val="001D079E"/>
    <w:rsid w:val="001D0CF4"/>
    <w:rsid w:val="001D11F8"/>
    <w:rsid w:val="001D1212"/>
    <w:rsid w:val="001D205A"/>
    <w:rsid w:val="001D3028"/>
    <w:rsid w:val="001D3166"/>
    <w:rsid w:val="001D3B1F"/>
    <w:rsid w:val="001D3B41"/>
    <w:rsid w:val="001D3D54"/>
    <w:rsid w:val="001D4695"/>
    <w:rsid w:val="001D4A9D"/>
    <w:rsid w:val="001D4DB0"/>
    <w:rsid w:val="001D5DDC"/>
    <w:rsid w:val="001D73B5"/>
    <w:rsid w:val="001D75BE"/>
    <w:rsid w:val="001D76A4"/>
    <w:rsid w:val="001D7A5F"/>
    <w:rsid w:val="001E077E"/>
    <w:rsid w:val="001E07C4"/>
    <w:rsid w:val="001E2184"/>
    <w:rsid w:val="001E22E8"/>
    <w:rsid w:val="001E238C"/>
    <w:rsid w:val="001E3237"/>
    <w:rsid w:val="001E3CC5"/>
    <w:rsid w:val="001E4108"/>
    <w:rsid w:val="001E5002"/>
    <w:rsid w:val="001E697C"/>
    <w:rsid w:val="001E6DE2"/>
    <w:rsid w:val="001E714E"/>
    <w:rsid w:val="001F0038"/>
    <w:rsid w:val="001F1183"/>
    <w:rsid w:val="001F2DA0"/>
    <w:rsid w:val="001F370C"/>
    <w:rsid w:val="001F513A"/>
    <w:rsid w:val="001F5382"/>
    <w:rsid w:val="001F5D89"/>
    <w:rsid w:val="001F614C"/>
    <w:rsid w:val="001F6307"/>
    <w:rsid w:val="001F6A97"/>
    <w:rsid w:val="001F6D4D"/>
    <w:rsid w:val="001F71C3"/>
    <w:rsid w:val="001F7B04"/>
    <w:rsid w:val="002011C6"/>
    <w:rsid w:val="002013F9"/>
    <w:rsid w:val="002015FD"/>
    <w:rsid w:val="00201863"/>
    <w:rsid w:val="00202C42"/>
    <w:rsid w:val="00203101"/>
    <w:rsid w:val="00203A5C"/>
    <w:rsid w:val="00205C9D"/>
    <w:rsid w:val="00206160"/>
    <w:rsid w:val="0020685B"/>
    <w:rsid w:val="00206BE0"/>
    <w:rsid w:val="00207F7D"/>
    <w:rsid w:val="0021027B"/>
    <w:rsid w:val="002107F8"/>
    <w:rsid w:val="0021091C"/>
    <w:rsid w:val="00210B97"/>
    <w:rsid w:val="00210E93"/>
    <w:rsid w:val="00210F7D"/>
    <w:rsid w:val="00212297"/>
    <w:rsid w:val="00212D14"/>
    <w:rsid w:val="00213811"/>
    <w:rsid w:val="00213A38"/>
    <w:rsid w:val="00213C6A"/>
    <w:rsid w:val="002141F0"/>
    <w:rsid w:val="002156D7"/>
    <w:rsid w:val="00215A96"/>
    <w:rsid w:val="002161AA"/>
    <w:rsid w:val="002165C3"/>
    <w:rsid w:val="00220215"/>
    <w:rsid w:val="00221255"/>
    <w:rsid w:val="00221429"/>
    <w:rsid w:val="00221436"/>
    <w:rsid w:val="0022429C"/>
    <w:rsid w:val="0022484D"/>
    <w:rsid w:val="00224EA3"/>
    <w:rsid w:val="0022549D"/>
    <w:rsid w:val="00225907"/>
    <w:rsid w:val="00226207"/>
    <w:rsid w:val="002266DD"/>
    <w:rsid w:val="002279A6"/>
    <w:rsid w:val="00230BB3"/>
    <w:rsid w:val="0023103B"/>
    <w:rsid w:val="00231433"/>
    <w:rsid w:val="00232191"/>
    <w:rsid w:val="00232452"/>
    <w:rsid w:val="002333C7"/>
    <w:rsid w:val="00234E09"/>
    <w:rsid w:val="00235027"/>
    <w:rsid w:val="00235A77"/>
    <w:rsid w:val="00235BE8"/>
    <w:rsid w:val="002366A8"/>
    <w:rsid w:val="00236918"/>
    <w:rsid w:val="0023713E"/>
    <w:rsid w:val="00237ABA"/>
    <w:rsid w:val="00237F29"/>
    <w:rsid w:val="0024045D"/>
    <w:rsid w:val="00240ACD"/>
    <w:rsid w:val="002412A9"/>
    <w:rsid w:val="0024297C"/>
    <w:rsid w:val="00242A16"/>
    <w:rsid w:val="00242FD8"/>
    <w:rsid w:val="00243A8C"/>
    <w:rsid w:val="00243B2F"/>
    <w:rsid w:val="002477F4"/>
    <w:rsid w:val="00247AE1"/>
    <w:rsid w:val="00247DC2"/>
    <w:rsid w:val="0025055C"/>
    <w:rsid w:val="00250955"/>
    <w:rsid w:val="00250E40"/>
    <w:rsid w:val="00250EDF"/>
    <w:rsid w:val="00251135"/>
    <w:rsid w:val="002525DF"/>
    <w:rsid w:val="00252699"/>
    <w:rsid w:val="0025271D"/>
    <w:rsid w:val="0025303A"/>
    <w:rsid w:val="00253593"/>
    <w:rsid w:val="002540E3"/>
    <w:rsid w:val="00254D8C"/>
    <w:rsid w:val="00255D4A"/>
    <w:rsid w:val="00256C87"/>
    <w:rsid w:val="00257481"/>
    <w:rsid w:val="00257599"/>
    <w:rsid w:val="00260CC9"/>
    <w:rsid w:val="00260E4A"/>
    <w:rsid w:val="00261BE3"/>
    <w:rsid w:val="00262A15"/>
    <w:rsid w:val="00262DC5"/>
    <w:rsid w:val="00263D6B"/>
    <w:rsid w:val="002642CD"/>
    <w:rsid w:val="0026436F"/>
    <w:rsid w:val="002646A6"/>
    <w:rsid w:val="0026480F"/>
    <w:rsid w:val="00264970"/>
    <w:rsid w:val="0026535D"/>
    <w:rsid w:val="002655D9"/>
    <w:rsid w:val="002656E2"/>
    <w:rsid w:val="0026596E"/>
    <w:rsid w:val="002659B0"/>
    <w:rsid w:val="00265E1F"/>
    <w:rsid w:val="00265EF6"/>
    <w:rsid w:val="00267A0B"/>
    <w:rsid w:val="00267E18"/>
    <w:rsid w:val="00270B1A"/>
    <w:rsid w:val="0027148B"/>
    <w:rsid w:val="002715B4"/>
    <w:rsid w:val="00273108"/>
    <w:rsid w:val="00273942"/>
    <w:rsid w:val="00274058"/>
    <w:rsid w:val="002742B5"/>
    <w:rsid w:val="00274A1F"/>
    <w:rsid w:val="002750DA"/>
    <w:rsid w:val="00275B38"/>
    <w:rsid w:val="00275D12"/>
    <w:rsid w:val="00275D8A"/>
    <w:rsid w:val="00275F00"/>
    <w:rsid w:val="00276B5B"/>
    <w:rsid w:val="00276F96"/>
    <w:rsid w:val="0028000C"/>
    <w:rsid w:val="00280130"/>
    <w:rsid w:val="00280309"/>
    <w:rsid w:val="002811D4"/>
    <w:rsid w:val="0028164F"/>
    <w:rsid w:val="002828EB"/>
    <w:rsid w:val="00283EBD"/>
    <w:rsid w:val="002841E5"/>
    <w:rsid w:val="002847CD"/>
    <w:rsid w:val="00285866"/>
    <w:rsid w:val="00285974"/>
    <w:rsid w:val="002865B2"/>
    <w:rsid w:val="00286B81"/>
    <w:rsid w:val="0028738C"/>
    <w:rsid w:val="00287BF0"/>
    <w:rsid w:val="00290479"/>
    <w:rsid w:val="00290819"/>
    <w:rsid w:val="00290D7B"/>
    <w:rsid w:val="00290E57"/>
    <w:rsid w:val="0029101C"/>
    <w:rsid w:val="00293282"/>
    <w:rsid w:val="00293DAC"/>
    <w:rsid w:val="0029483D"/>
    <w:rsid w:val="00295357"/>
    <w:rsid w:val="00295B9E"/>
    <w:rsid w:val="00296092"/>
    <w:rsid w:val="002970F4"/>
    <w:rsid w:val="00297370"/>
    <w:rsid w:val="00297563"/>
    <w:rsid w:val="00297EA1"/>
    <w:rsid w:val="00297F8B"/>
    <w:rsid w:val="00297FFC"/>
    <w:rsid w:val="002A0196"/>
    <w:rsid w:val="002A1FA8"/>
    <w:rsid w:val="002A2091"/>
    <w:rsid w:val="002A2678"/>
    <w:rsid w:val="002A2C4E"/>
    <w:rsid w:val="002A3529"/>
    <w:rsid w:val="002A3D54"/>
    <w:rsid w:val="002A6297"/>
    <w:rsid w:val="002A69F0"/>
    <w:rsid w:val="002A7FFB"/>
    <w:rsid w:val="002B00C7"/>
    <w:rsid w:val="002B309B"/>
    <w:rsid w:val="002B3B31"/>
    <w:rsid w:val="002B50EB"/>
    <w:rsid w:val="002B54BB"/>
    <w:rsid w:val="002B5BD7"/>
    <w:rsid w:val="002B6B36"/>
    <w:rsid w:val="002B6DE3"/>
    <w:rsid w:val="002B7869"/>
    <w:rsid w:val="002C0E03"/>
    <w:rsid w:val="002C145B"/>
    <w:rsid w:val="002C1703"/>
    <w:rsid w:val="002C1DBC"/>
    <w:rsid w:val="002C1F0F"/>
    <w:rsid w:val="002C21D5"/>
    <w:rsid w:val="002C2EE6"/>
    <w:rsid w:val="002C316D"/>
    <w:rsid w:val="002C3C46"/>
    <w:rsid w:val="002C3D01"/>
    <w:rsid w:val="002C45EC"/>
    <w:rsid w:val="002C4E67"/>
    <w:rsid w:val="002C4F29"/>
    <w:rsid w:val="002C54C9"/>
    <w:rsid w:val="002C5B89"/>
    <w:rsid w:val="002C5CF6"/>
    <w:rsid w:val="002D0EFD"/>
    <w:rsid w:val="002D113E"/>
    <w:rsid w:val="002D154E"/>
    <w:rsid w:val="002D20C6"/>
    <w:rsid w:val="002D211A"/>
    <w:rsid w:val="002D21AA"/>
    <w:rsid w:val="002D2E0D"/>
    <w:rsid w:val="002D3BA3"/>
    <w:rsid w:val="002D46A5"/>
    <w:rsid w:val="002D4817"/>
    <w:rsid w:val="002D54BB"/>
    <w:rsid w:val="002D5710"/>
    <w:rsid w:val="002D6483"/>
    <w:rsid w:val="002D64EF"/>
    <w:rsid w:val="002D7E50"/>
    <w:rsid w:val="002E0778"/>
    <w:rsid w:val="002E15E2"/>
    <w:rsid w:val="002E1915"/>
    <w:rsid w:val="002E1D25"/>
    <w:rsid w:val="002E2145"/>
    <w:rsid w:val="002E26B5"/>
    <w:rsid w:val="002E3209"/>
    <w:rsid w:val="002E35E3"/>
    <w:rsid w:val="002E3C1D"/>
    <w:rsid w:val="002E48C6"/>
    <w:rsid w:val="002E4EE7"/>
    <w:rsid w:val="002E5794"/>
    <w:rsid w:val="002E5C4C"/>
    <w:rsid w:val="002E6172"/>
    <w:rsid w:val="002E675D"/>
    <w:rsid w:val="002E6A43"/>
    <w:rsid w:val="002E74DF"/>
    <w:rsid w:val="002F08E7"/>
    <w:rsid w:val="002F1FEC"/>
    <w:rsid w:val="002F2F06"/>
    <w:rsid w:val="002F3AEA"/>
    <w:rsid w:val="002F451D"/>
    <w:rsid w:val="002F45D5"/>
    <w:rsid w:val="002F4909"/>
    <w:rsid w:val="002F4B43"/>
    <w:rsid w:val="002F5629"/>
    <w:rsid w:val="002F5C1D"/>
    <w:rsid w:val="002F5D34"/>
    <w:rsid w:val="002F771C"/>
    <w:rsid w:val="003005EE"/>
    <w:rsid w:val="00300615"/>
    <w:rsid w:val="003008D9"/>
    <w:rsid w:val="0030213D"/>
    <w:rsid w:val="0030310D"/>
    <w:rsid w:val="003035D7"/>
    <w:rsid w:val="0030410D"/>
    <w:rsid w:val="00304590"/>
    <w:rsid w:val="00304C75"/>
    <w:rsid w:val="00305357"/>
    <w:rsid w:val="00305DEF"/>
    <w:rsid w:val="00306A7C"/>
    <w:rsid w:val="00306C0E"/>
    <w:rsid w:val="0030749E"/>
    <w:rsid w:val="003075C0"/>
    <w:rsid w:val="003077FC"/>
    <w:rsid w:val="00307C1F"/>
    <w:rsid w:val="00310237"/>
    <w:rsid w:val="0031097B"/>
    <w:rsid w:val="00310A3E"/>
    <w:rsid w:val="00310AF6"/>
    <w:rsid w:val="003110FF"/>
    <w:rsid w:val="00311827"/>
    <w:rsid w:val="003123A5"/>
    <w:rsid w:val="003127CC"/>
    <w:rsid w:val="00312BEF"/>
    <w:rsid w:val="00313293"/>
    <w:rsid w:val="0031366D"/>
    <w:rsid w:val="0031438A"/>
    <w:rsid w:val="003145BB"/>
    <w:rsid w:val="003145E3"/>
    <w:rsid w:val="0031527C"/>
    <w:rsid w:val="00316D72"/>
    <w:rsid w:val="00316E75"/>
    <w:rsid w:val="0031755C"/>
    <w:rsid w:val="00317EBD"/>
    <w:rsid w:val="003205A7"/>
    <w:rsid w:val="003209EA"/>
    <w:rsid w:val="00320F74"/>
    <w:rsid w:val="00321336"/>
    <w:rsid w:val="003221AA"/>
    <w:rsid w:val="00322215"/>
    <w:rsid w:val="00322F74"/>
    <w:rsid w:val="00323A59"/>
    <w:rsid w:val="00323E69"/>
    <w:rsid w:val="00324491"/>
    <w:rsid w:val="00324F05"/>
    <w:rsid w:val="00324F5A"/>
    <w:rsid w:val="0032520A"/>
    <w:rsid w:val="00325246"/>
    <w:rsid w:val="00325997"/>
    <w:rsid w:val="00325F81"/>
    <w:rsid w:val="003267FF"/>
    <w:rsid w:val="00327097"/>
    <w:rsid w:val="00327CB4"/>
    <w:rsid w:val="00327DEA"/>
    <w:rsid w:val="00331C07"/>
    <w:rsid w:val="00331EB6"/>
    <w:rsid w:val="00332104"/>
    <w:rsid w:val="003323AD"/>
    <w:rsid w:val="00332816"/>
    <w:rsid w:val="0033434A"/>
    <w:rsid w:val="00334B42"/>
    <w:rsid w:val="0033588D"/>
    <w:rsid w:val="00335F27"/>
    <w:rsid w:val="00336208"/>
    <w:rsid w:val="00337788"/>
    <w:rsid w:val="00337E92"/>
    <w:rsid w:val="003402E6"/>
    <w:rsid w:val="00340464"/>
    <w:rsid w:val="003411D5"/>
    <w:rsid w:val="0034158E"/>
    <w:rsid w:val="00342344"/>
    <w:rsid w:val="003423D8"/>
    <w:rsid w:val="00342A32"/>
    <w:rsid w:val="00342EDA"/>
    <w:rsid w:val="0034347C"/>
    <w:rsid w:val="003437F1"/>
    <w:rsid w:val="00343F7A"/>
    <w:rsid w:val="00344E34"/>
    <w:rsid w:val="00345048"/>
    <w:rsid w:val="003450AB"/>
    <w:rsid w:val="003452A7"/>
    <w:rsid w:val="003455A0"/>
    <w:rsid w:val="0034566D"/>
    <w:rsid w:val="00346569"/>
    <w:rsid w:val="00346962"/>
    <w:rsid w:val="00347555"/>
    <w:rsid w:val="0034772D"/>
    <w:rsid w:val="00347B0E"/>
    <w:rsid w:val="00347B83"/>
    <w:rsid w:val="003503D8"/>
    <w:rsid w:val="00353A71"/>
    <w:rsid w:val="00353C39"/>
    <w:rsid w:val="00353D84"/>
    <w:rsid w:val="00353EB0"/>
    <w:rsid w:val="003548E2"/>
    <w:rsid w:val="00354A25"/>
    <w:rsid w:val="00354A38"/>
    <w:rsid w:val="00354D57"/>
    <w:rsid w:val="00355EB7"/>
    <w:rsid w:val="00355F65"/>
    <w:rsid w:val="0035612C"/>
    <w:rsid w:val="00356532"/>
    <w:rsid w:val="00356BC3"/>
    <w:rsid w:val="0035725F"/>
    <w:rsid w:val="00357AC5"/>
    <w:rsid w:val="003601CE"/>
    <w:rsid w:val="00360467"/>
    <w:rsid w:val="00361368"/>
    <w:rsid w:val="003615D9"/>
    <w:rsid w:val="003618DD"/>
    <w:rsid w:val="00362040"/>
    <w:rsid w:val="00362821"/>
    <w:rsid w:val="003631ED"/>
    <w:rsid w:val="003639A6"/>
    <w:rsid w:val="00364E19"/>
    <w:rsid w:val="00364F73"/>
    <w:rsid w:val="0036555D"/>
    <w:rsid w:val="00365FE7"/>
    <w:rsid w:val="0036608B"/>
    <w:rsid w:val="003661BB"/>
    <w:rsid w:val="00367385"/>
    <w:rsid w:val="003675A5"/>
    <w:rsid w:val="00367A37"/>
    <w:rsid w:val="00367FA0"/>
    <w:rsid w:val="003707EF"/>
    <w:rsid w:val="00370982"/>
    <w:rsid w:val="00370B52"/>
    <w:rsid w:val="00370E77"/>
    <w:rsid w:val="003711B0"/>
    <w:rsid w:val="00371D76"/>
    <w:rsid w:val="00372F3C"/>
    <w:rsid w:val="00372F67"/>
    <w:rsid w:val="003754B1"/>
    <w:rsid w:val="0037622B"/>
    <w:rsid w:val="00376F4A"/>
    <w:rsid w:val="003770F3"/>
    <w:rsid w:val="0038046C"/>
    <w:rsid w:val="00380565"/>
    <w:rsid w:val="00380870"/>
    <w:rsid w:val="00380A06"/>
    <w:rsid w:val="003812FF"/>
    <w:rsid w:val="003814BF"/>
    <w:rsid w:val="003815CA"/>
    <w:rsid w:val="0038183A"/>
    <w:rsid w:val="00381906"/>
    <w:rsid w:val="00381DC9"/>
    <w:rsid w:val="00381F55"/>
    <w:rsid w:val="00382A2A"/>
    <w:rsid w:val="003834D8"/>
    <w:rsid w:val="003839CD"/>
    <w:rsid w:val="0038464D"/>
    <w:rsid w:val="00384787"/>
    <w:rsid w:val="003848E4"/>
    <w:rsid w:val="003857A0"/>
    <w:rsid w:val="00386028"/>
    <w:rsid w:val="00386083"/>
    <w:rsid w:val="00386F8E"/>
    <w:rsid w:val="00387616"/>
    <w:rsid w:val="00390262"/>
    <w:rsid w:val="0039134E"/>
    <w:rsid w:val="0039179A"/>
    <w:rsid w:val="00392522"/>
    <w:rsid w:val="00392BB5"/>
    <w:rsid w:val="00393325"/>
    <w:rsid w:val="0039425C"/>
    <w:rsid w:val="00394603"/>
    <w:rsid w:val="00394891"/>
    <w:rsid w:val="00394DFF"/>
    <w:rsid w:val="0039541E"/>
    <w:rsid w:val="00395F48"/>
    <w:rsid w:val="003967BB"/>
    <w:rsid w:val="00396C9B"/>
    <w:rsid w:val="003974E3"/>
    <w:rsid w:val="00397524"/>
    <w:rsid w:val="003A1A00"/>
    <w:rsid w:val="003A3571"/>
    <w:rsid w:val="003A41E9"/>
    <w:rsid w:val="003A43B4"/>
    <w:rsid w:val="003A4A37"/>
    <w:rsid w:val="003A5428"/>
    <w:rsid w:val="003A54B5"/>
    <w:rsid w:val="003A5781"/>
    <w:rsid w:val="003A65D9"/>
    <w:rsid w:val="003A6744"/>
    <w:rsid w:val="003A740D"/>
    <w:rsid w:val="003A7AD6"/>
    <w:rsid w:val="003A7BA3"/>
    <w:rsid w:val="003B0A1B"/>
    <w:rsid w:val="003B14C6"/>
    <w:rsid w:val="003B1761"/>
    <w:rsid w:val="003B1FD7"/>
    <w:rsid w:val="003B2549"/>
    <w:rsid w:val="003B2FFD"/>
    <w:rsid w:val="003B32CA"/>
    <w:rsid w:val="003B331C"/>
    <w:rsid w:val="003B3395"/>
    <w:rsid w:val="003B389C"/>
    <w:rsid w:val="003B3B47"/>
    <w:rsid w:val="003B3E67"/>
    <w:rsid w:val="003B4396"/>
    <w:rsid w:val="003B49FE"/>
    <w:rsid w:val="003B4E2F"/>
    <w:rsid w:val="003B4F9C"/>
    <w:rsid w:val="003B5BC0"/>
    <w:rsid w:val="003B6037"/>
    <w:rsid w:val="003B6504"/>
    <w:rsid w:val="003B6875"/>
    <w:rsid w:val="003B730E"/>
    <w:rsid w:val="003B76CA"/>
    <w:rsid w:val="003B7D3A"/>
    <w:rsid w:val="003C0857"/>
    <w:rsid w:val="003C08EB"/>
    <w:rsid w:val="003C15F6"/>
    <w:rsid w:val="003C1E38"/>
    <w:rsid w:val="003C2305"/>
    <w:rsid w:val="003C3192"/>
    <w:rsid w:val="003C3C1B"/>
    <w:rsid w:val="003C49BD"/>
    <w:rsid w:val="003C4C4A"/>
    <w:rsid w:val="003C50B6"/>
    <w:rsid w:val="003C5432"/>
    <w:rsid w:val="003C550E"/>
    <w:rsid w:val="003C5762"/>
    <w:rsid w:val="003C5CB2"/>
    <w:rsid w:val="003C63E4"/>
    <w:rsid w:val="003C7CC9"/>
    <w:rsid w:val="003C7DB5"/>
    <w:rsid w:val="003D0007"/>
    <w:rsid w:val="003D0092"/>
    <w:rsid w:val="003D0632"/>
    <w:rsid w:val="003D0A58"/>
    <w:rsid w:val="003D180E"/>
    <w:rsid w:val="003D194C"/>
    <w:rsid w:val="003D32CD"/>
    <w:rsid w:val="003D4096"/>
    <w:rsid w:val="003D419D"/>
    <w:rsid w:val="003D41BA"/>
    <w:rsid w:val="003D4AED"/>
    <w:rsid w:val="003D6FBE"/>
    <w:rsid w:val="003E0892"/>
    <w:rsid w:val="003E09BD"/>
    <w:rsid w:val="003E0B2B"/>
    <w:rsid w:val="003E1B02"/>
    <w:rsid w:val="003E2032"/>
    <w:rsid w:val="003E24E9"/>
    <w:rsid w:val="003E258C"/>
    <w:rsid w:val="003E2648"/>
    <w:rsid w:val="003E3B11"/>
    <w:rsid w:val="003E3DBB"/>
    <w:rsid w:val="003E4574"/>
    <w:rsid w:val="003E6206"/>
    <w:rsid w:val="003E6D8D"/>
    <w:rsid w:val="003E6F42"/>
    <w:rsid w:val="003F0B02"/>
    <w:rsid w:val="003F20FF"/>
    <w:rsid w:val="003F21F4"/>
    <w:rsid w:val="003F2A16"/>
    <w:rsid w:val="003F35DC"/>
    <w:rsid w:val="003F3671"/>
    <w:rsid w:val="003F38DC"/>
    <w:rsid w:val="003F3CCC"/>
    <w:rsid w:val="003F3D36"/>
    <w:rsid w:val="003F3E4F"/>
    <w:rsid w:val="003F4237"/>
    <w:rsid w:val="003F4586"/>
    <w:rsid w:val="003F4EB9"/>
    <w:rsid w:val="003F5E7C"/>
    <w:rsid w:val="003F78B8"/>
    <w:rsid w:val="003F7D7D"/>
    <w:rsid w:val="004008CB"/>
    <w:rsid w:val="00401679"/>
    <w:rsid w:val="004016A8"/>
    <w:rsid w:val="00401E82"/>
    <w:rsid w:val="00402226"/>
    <w:rsid w:val="00402579"/>
    <w:rsid w:val="00402BE5"/>
    <w:rsid w:val="00402D50"/>
    <w:rsid w:val="00402F52"/>
    <w:rsid w:val="00402FD3"/>
    <w:rsid w:val="00403422"/>
    <w:rsid w:val="00403566"/>
    <w:rsid w:val="0040384E"/>
    <w:rsid w:val="00403D9F"/>
    <w:rsid w:val="00404E8C"/>
    <w:rsid w:val="004055CD"/>
    <w:rsid w:val="0040563A"/>
    <w:rsid w:val="00406B34"/>
    <w:rsid w:val="00406F84"/>
    <w:rsid w:val="004071A6"/>
    <w:rsid w:val="00407267"/>
    <w:rsid w:val="00407376"/>
    <w:rsid w:val="004077DB"/>
    <w:rsid w:val="00407873"/>
    <w:rsid w:val="00410589"/>
    <w:rsid w:val="00410CE8"/>
    <w:rsid w:val="00410D87"/>
    <w:rsid w:val="004116D4"/>
    <w:rsid w:val="00412213"/>
    <w:rsid w:val="00412B16"/>
    <w:rsid w:val="00413899"/>
    <w:rsid w:val="0041393D"/>
    <w:rsid w:val="00414076"/>
    <w:rsid w:val="00414460"/>
    <w:rsid w:val="00414E5D"/>
    <w:rsid w:val="00415EE2"/>
    <w:rsid w:val="00416713"/>
    <w:rsid w:val="0041671A"/>
    <w:rsid w:val="00416CA3"/>
    <w:rsid w:val="00416FF0"/>
    <w:rsid w:val="0041758E"/>
    <w:rsid w:val="00417B83"/>
    <w:rsid w:val="004200B0"/>
    <w:rsid w:val="00420411"/>
    <w:rsid w:val="00420D86"/>
    <w:rsid w:val="00421219"/>
    <w:rsid w:val="00421390"/>
    <w:rsid w:val="00421402"/>
    <w:rsid w:val="00421D63"/>
    <w:rsid w:val="00421EDE"/>
    <w:rsid w:val="00422FD5"/>
    <w:rsid w:val="00423491"/>
    <w:rsid w:val="004263D0"/>
    <w:rsid w:val="004267E6"/>
    <w:rsid w:val="00426AEB"/>
    <w:rsid w:val="00427BB3"/>
    <w:rsid w:val="004308C6"/>
    <w:rsid w:val="00431BC2"/>
    <w:rsid w:val="0043341B"/>
    <w:rsid w:val="00433506"/>
    <w:rsid w:val="00434556"/>
    <w:rsid w:val="00434AFB"/>
    <w:rsid w:val="00434D51"/>
    <w:rsid w:val="00436D54"/>
    <w:rsid w:val="00436FFC"/>
    <w:rsid w:val="0043747F"/>
    <w:rsid w:val="00437967"/>
    <w:rsid w:val="0044037D"/>
    <w:rsid w:val="00440BAD"/>
    <w:rsid w:val="004412CA"/>
    <w:rsid w:val="00441411"/>
    <w:rsid w:val="00441953"/>
    <w:rsid w:val="004419D6"/>
    <w:rsid w:val="004423A4"/>
    <w:rsid w:val="0044266A"/>
    <w:rsid w:val="00442698"/>
    <w:rsid w:val="00443404"/>
    <w:rsid w:val="00444678"/>
    <w:rsid w:val="00444690"/>
    <w:rsid w:val="00444B32"/>
    <w:rsid w:val="00444D24"/>
    <w:rsid w:val="00446271"/>
    <w:rsid w:val="004464E7"/>
    <w:rsid w:val="00446565"/>
    <w:rsid w:val="00446ED2"/>
    <w:rsid w:val="0044736F"/>
    <w:rsid w:val="004509FE"/>
    <w:rsid w:val="00450AAF"/>
    <w:rsid w:val="004512CE"/>
    <w:rsid w:val="00452040"/>
    <w:rsid w:val="00452B3A"/>
    <w:rsid w:val="0045318C"/>
    <w:rsid w:val="00455322"/>
    <w:rsid w:val="004556A8"/>
    <w:rsid w:val="00456390"/>
    <w:rsid w:val="00456670"/>
    <w:rsid w:val="004567D0"/>
    <w:rsid w:val="00460304"/>
    <w:rsid w:val="00460607"/>
    <w:rsid w:val="00460A36"/>
    <w:rsid w:val="00460F45"/>
    <w:rsid w:val="004618EE"/>
    <w:rsid w:val="00462D5D"/>
    <w:rsid w:val="004633A6"/>
    <w:rsid w:val="00463D54"/>
    <w:rsid w:val="00463DCB"/>
    <w:rsid w:val="00464324"/>
    <w:rsid w:val="004648BE"/>
    <w:rsid w:val="00464FE6"/>
    <w:rsid w:val="00465586"/>
    <w:rsid w:val="004655CE"/>
    <w:rsid w:val="00465717"/>
    <w:rsid w:val="00470B7C"/>
    <w:rsid w:val="0047114D"/>
    <w:rsid w:val="00472844"/>
    <w:rsid w:val="004733F9"/>
    <w:rsid w:val="004738FF"/>
    <w:rsid w:val="00473F72"/>
    <w:rsid w:val="00473F97"/>
    <w:rsid w:val="00474134"/>
    <w:rsid w:val="004741AE"/>
    <w:rsid w:val="00474E79"/>
    <w:rsid w:val="00475384"/>
    <w:rsid w:val="00475FFF"/>
    <w:rsid w:val="004762C2"/>
    <w:rsid w:val="00477322"/>
    <w:rsid w:val="00477671"/>
    <w:rsid w:val="004776B7"/>
    <w:rsid w:val="00477CF3"/>
    <w:rsid w:val="00477EB9"/>
    <w:rsid w:val="00480CC6"/>
    <w:rsid w:val="0048187C"/>
    <w:rsid w:val="00481BC4"/>
    <w:rsid w:val="00481E71"/>
    <w:rsid w:val="00482545"/>
    <w:rsid w:val="00482875"/>
    <w:rsid w:val="00482D3F"/>
    <w:rsid w:val="004861B4"/>
    <w:rsid w:val="004869E7"/>
    <w:rsid w:val="00486D8C"/>
    <w:rsid w:val="00487055"/>
    <w:rsid w:val="004872E4"/>
    <w:rsid w:val="00487755"/>
    <w:rsid w:val="0048781D"/>
    <w:rsid w:val="00487AFB"/>
    <w:rsid w:val="00487D48"/>
    <w:rsid w:val="0049142D"/>
    <w:rsid w:val="00491987"/>
    <w:rsid w:val="00492030"/>
    <w:rsid w:val="00493364"/>
    <w:rsid w:val="00493B57"/>
    <w:rsid w:val="0049683A"/>
    <w:rsid w:val="00497062"/>
    <w:rsid w:val="004979B9"/>
    <w:rsid w:val="004A053A"/>
    <w:rsid w:val="004A1E6E"/>
    <w:rsid w:val="004A1F74"/>
    <w:rsid w:val="004A2E7E"/>
    <w:rsid w:val="004A2ED6"/>
    <w:rsid w:val="004A4EAD"/>
    <w:rsid w:val="004A723B"/>
    <w:rsid w:val="004A73F6"/>
    <w:rsid w:val="004A7AFA"/>
    <w:rsid w:val="004B0435"/>
    <w:rsid w:val="004B045A"/>
    <w:rsid w:val="004B0A5B"/>
    <w:rsid w:val="004B0E3B"/>
    <w:rsid w:val="004B1062"/>
    <w:rsid w:val="004B1D02"/>
    <w:rsid w:val="004B2031"/>
    <w:rsid w:val="004B258B"/>
    <w:rsid w:val="004B25A4"/>
    <w:rsid w:val="004B2C56"/>
    <w:rsid w:val="004B2DB0"/>
    <w:rsid w:val="004B5232"/>
    <w:rsid w:val="004B53B6"/>
    <w:rsid w:val="004B5FA9"/>
    <w:rsid w:val="004B6383"/>
    <w:rsid w:val="004B64C7"/>
    <w:rsid w:val="004B69A4"/>
    <w:rsid w:val="004B6CF0"/>
    <w:rsid w:val="004B7888"/>
    <w:rsid w:val="004B791E"/>
    <w:rsid w:val="004C0654"/>
    <w:rsid w:val="004C0697"/>
    <w:rsid w:val="004C1592"/>
    <w:rsid w:val="004C19E7"/>
    <w:rsid w:val="004C1C78"/>
    <w:rsid w:val="004C1F94"/>
    <w:rsid w:val="004C23A9"/>
    <w:rsid w:val="004C2B38"/>
    <w:rsid w:val="004C2EB8"/>
    <w:rsid w:val="004C3102"/>
    <w:rsid w:val="004C39F0"/>
    <w:rsid w:val="004C4837"/>
    <w:rsid w:val="004C5A30"/>
    <w:rsid w:val="004C5BFF"/>
    <w:rsid w:val="004C6266"/>
    <w:rsid w:val="004C7411"/>
    <w:rsid w:val="004C772D"/>
    <w:rsid w:val="004D0310"/>
    <w:rsid w:val="004D1455"/>
    <w:rsid w:val="004D17B7"/>
    <w:rsid w:val="004D2046"/>
    <w:rsid w:val="004D20E4"/>
    <w:rsid w:val="004D2505"/>
    <w:rsid w:val="004D3421"/>
    <w:rsid w:val="004D47A2"/>
    <w:rsid w:val="004D4C3F"/>
    <w:rsid w:val="004D4DE7"/>
    <w:rsid w:val="004D5635"/>
    <w:rsid w:val="004D6494"/>
    <w:rsid w:val="004D7042"/>
    <w:rsid w:val="004E0065"/>
    <w:rsid w:val="004E008D"/>
    <w:rsid w:val="004E13C8"/>
    <w:rsid w:val="004E2C30"/>
    <w:rsid w:val="004E37C5"/>
    <w:rsid w:val="004E3D18"/>
    <w:rsid w:val="004E3DDF"/>
    <w:rsid w:val="004E3F7E"/>
    <w:rsid w:val="004E442D"/>
    <w:rsid w:val="004E466C"/>
    <w:rsid w:val="004E4809"/>
    <w:rsid w:val="004E588A"/>
    <w:rsid w:val="004E5E5C"/>
    <w:rsid w:val="004E73DF"/>
    <w:rsid w:val="004F1374"/>
    <w:rsid w:val="004F2C2C"/>
    <w:rsid w:val="004F3C2E"/>
    <w:rsid w:val="004F4270"/>
    <w:rsid w:val="004F4C5F"/>
    <w:rsid w:val="004F512F"/>
    <w:rsid w:val="004F518D"/>
    <w:rsid w:val="004F58A0"/>
    <w:rsid w:val="004F5ADC"/>
    <w:rsid w:val="004F5BCF"/>
    <w:rsid w:val="004F5D7D"/>
    <w:rsid w:val="004F6159"/>
    <w:rsid w:val="00502976"/>
    <w:rsid w:val="00502BA2"/>
    <w:rsid w:val="005039D5"/>
    <w:rsid w:val="00503A18"/>
    <w:rsid w:val="00503AA6"/>
    <w:rsid w:val="00505418"/>
    <w:rsid w:val="005056D1"/>
    <w:rsid w:val="0050585B"/>
    <w:rsid w:val="005058D3"/>
    <w:rsid w:val="005061EB"/>
    <w:rsid w:val="0050620C"/>
    <w:rsid w:val="00506218"/>
    <w:rsid w:val="0050647F"/>
    <w:rsid w:val="0050693D"/>
    <w:rsid w:val="00506C25"/>
    <w:rsid w:val="00507077"/>
    <w:rsid w:val="00507A36"/>
    <w:rsid w:val="0051042F"/>
    <w:rsid w:val="00510D64"/>
    <w:rsid w:val="00511559"/>
    <w:rsid w:val="00511723"/>
    <w:rsid w:val="00511B76"/>
    <w:rsid w:val="00511E61"/>
    <w:rsid w:val="005123B7"/>
    <w:rsid w:val="00513C3B"/>
    <w:rsid w:val="00514217"/>
    <w:rsid w:val="0051434B"/>
    <w:rsid w:val="00514619"/>
    <w:rsid w:val="00514AC9"/>
    <w:rsid w:val="00514C6E"/>
    <w:rsid w:val="00516416"/>
    <w:rsid w:val="00516C2D"/>
    <w:rsid w:val="00517ACA"/>
    <w:rsid w:val="00520599"/>
    <w:rsid w:val="00520BE5"/>
    <w:rsid w:val="0052270F"/>
    <w:rsid w:val="0052318B"/>
    <w:rsid w:val="00523BED"/>
    <w:rsid w:val="00524010"/>
    <w:rsid w:val="0052409A"/>
    <w:rsid w:val="00525173"/>
    <w:rsid w:val="0052627F"/>
    <w:rsid w:val="0052677D"/>
    <w:rsid w:val="005273DD"/>
    <w:rsid w:val="00527CF4"/>
    <w:rsid w:val="00527EFE"/>
    <w:rsid w:val="0053080D"/>
    <w:rsid w:val="005310B9"/>
    <w:rsid w:val="00531E23"/>
    <w:rsid w:val="00531FA5"/>
    <w:rsid w:val="0053282D"/>
    <w:rsid w:val="00532CDA"/>
    <w:rsid w:val="00532EB1"/>
    <w:rsid w:val="005334C7"/>
    <w:rsid w:val="005336D6"/>
    <w:rsid w:val="00534726"/>
    <w:rsid w:val="00534E30"/>
    <w:rsid w:val="005356AE"/>
    <w:rsid w:val="0053615A"/>
    <w:rsid w:val="00536422"/>
    <w:rsid w:val="0053679B"/>
    <w:rsid w:val="00537E61"/>
    <w:rsid w:val="0054017B"/>
    <w:rsid w:val="005402F5"/>
    <w:rsid w:val="005413F1"/>
    <w:rsid w:val="005417D4"/>
    <w:rsid w:val="00541F37"/>
    <w:rsid w:val="00542058"/>
    <w:rsid w:val="0054296C"/>
    <w:rsid w:val="0054347A"/>
    <w:rsid w:val="00543B13"/>
    <w:rsid w:val="00543B8B"/>
    <w:rsid w:val="0054480D"/>
    <w:rsid w:val="005449BE"/>
    <w:rsid w:val="00544B4E"/>
    <w:rsid w:val="00544CB4"/>
    <w:rsid w:val="00544E64"/>
    <w:rsid w:val="00545049"/>
    <w:rsid w:val="00545C31"/>
    <w:rsid w:val="005463E3"/>
    <w:rsid w:val="00546A6A"/>
    <w:rsid w:val="005472A0"/>
    <w:rsid w:val="00547373"/>
    <w:rsid w:val="005500AF"/>
    <w:rsid w:val="00550BF1"/>
    <w:rsid w:val="00550C4E"/>
    <w:rsid w:val="00551161"/>
    <w:rsid w:val="00551FCB"/>
    <w:rsid w:val="00553561"/>
    <w:rsid w:val="005545A8"/>
    <w:rsid w:val="00554A88"/>
    <w:rsid w:val="00555BD8"/>
    <w:rsid w:val="00555ED3"/>
    <w:rsid w:val="00557789"/>
    <w:rsid w:val="00557B43"/>
    <w:rsid w:val="00557D33"/>
    <w:rsid w:val="00560003"/>
    <w:rsid w:val="00560334"/>
    <w:rsid w:val="0056106D"/>
    <w:rsid w:val="00561302"/>
    <w:rsid w:val="00562494"/>
    <w:rsid w:val="00562BB9"/>
    <w:rsid w:val="005642FB"/>
    <w:rsid w:val="00565163"/>
    <w:rsid w:val="00565F1A"/>
    <w:rsid w:val="00567820"/>
    <w:rsid w:val="0056797F"/>
    <w:rsid w:val="00567BF1"/>
    <w:rsid w:val="00567C5D"/>
    <w:rsid w:val="00570438"/>
    <w:rsid w:val="00570DBE"/>
    <w:rsid w:val="005715F2"/>
    <w:rsid w:val="00571934"/>
    <w:rsid w:val="0057197C"/>
    <w:rsid w:val="00571E23"/>
    <w:rsid w:val="00571FE1"/>
    <w:rsid w:val="00572061"/>
    <w:rsid w:val="005723CA"/>
    <w:rsid w:val="005724E3"/>
    <w:rsid w:val="00573D48"/>
    <w:rsid w:val="00573E9D"/>
    <w:rsid w:val="00573F76"/>
    <w:rsid w:val="005760A9"/>
    <w:rsid w:val="00576E3F"/>
    <w:rsid w:val="005779DA"/>
    <w:rsid w:val="00577CCE"/>
    <w:rsid w:val="00580008"/>
    <w:rsid w:val="005803FB"/>
    <w:rsid w:val="00580835"/>
    <w:rsid w:val="00580EB7"/>
    <w:rsid w:val="00580FC7"/>
    <w:rsid w:val="00581F0A"/>
    <w:rsid w:val="0058218E"/>
    <w:rsid w:val="00582294"/>
    <w:rsid w:val="00583CF4"/>
    <w:rsid w:val="00584713"/>
    <w:rsid w:val="005847F7"/>
    <w:rsid w:val="005848AD"/>
    <w:rsid w:val="00584A34"/>
    <w:rsid w:val="00586796"/>
    <w:rsid w:val="005876AB"/>
    <w:rsid w:val="005879BB"/>
    <w:rsid w:val="00587C74"/>
    <w:rsid w:val="005909CE"/>
    <w:rsid w:val="00590CF9"/>
    <w:rsid w:val="005914C8"/>
    <w:rsid w:val="00591CD2"/>
    <w:rsid w:val="005920D1"/>
    <w:rsid w:val="00592761"/>
    <w:rsid w:val="0059300A"/>
    <w:rsid w:val="005939D5"/>
    <w:rsid w:val="00593C0E"/>
    <w:rsid w:val="00593CBA"/>
    <w:rsid w:val="00594840"/>
    <w:rsid w:val="00594AC2"/>
    <w:rsid w:val="00595218"/>
    <w:rsid w:val="00595264"/>
    <w:rsid w:val="005963E4"/>
    <w:rsid w:val="00596D99"/>
    <w:rsid w:val="00596E7B"/>
    <w:rsid w:val="0059792F"/>
    <w:rsid w:val="005A09B9"/>
    <w:rsid w:val="005A1914"/>
    <w:rsid w:val="005A1BD6"/>
    <w:rsid w:val="005A24B8"/>
    <w:rsid w:val="005A3243"/>
    <w:rsid w:val="005A3530"/>
    <w:rsid w:val="005A38A6"/>
    <w:rsid w:val="005A4083"/>
    <w:rsid w:val="005A5228"/>
    <w:rsid w:val="005A57FE"/>
    <w:rsid w:val="005A5FE1"/>
    <w:rsid w:val="005A6887"/>
    <w:rsid w:val="005A6B21"/>
    <w:rsid w:val="005A722E"/>
    <w:rsid w:val="005A7B40"/>
    <w:rsid w:val="005B00A2"/>
    <w:rsid w:val="005B182C"/>
    <w:rsid w:val="005B27EF"/>
    <w:rsid w:val="005B32A6"/>
    <w:rsid w:val="005B387B"/>
    <w:rsid w:val="005B43C9"/>
    <w:rsid w:val="005B47D9"/>
    <w:rsid w:val="005B4930"/>
    <w:rsid w:val="005B49BF"/>
    <w:rsid w:val="005B4B85"/>
    <w:rsid w:val="005B4C2D"/>
    <w:rsid w:val="005B577C"/>
    <w:rsid w:val="005B5A97"/>
    <w:rsid w:val="005B5DB6"/>
    <w:rsid w:val="005B5E96"/>
    <w:rsid w:val="005B6905"/>
    <w:rsid w:val="005B69C7"/>
    <w:rsid w:val="005B7033"/>
    <w:rsid w:val="005C0054"/>
    <w:rsid w:val="005C1B46"/>
    <w:rsid w:val="005C1BD0"/>
    <w:rsid w:val="005C2C05"/>
    <w:rsid w:val="005C2CC0"/>
    <w:rsid w:val="005C3ADA"/>
    <w:rsid w:val="005C48F8"/>
    <w:rsid w:val="005C4D10"/>
    <w:rsid w:val="005C5FB3"/>
    <w:rsid w:val="005C62DC"/>
    <w:rsid w:val="005C6DE2"/>
    <w:rsid w:val="005C7856"/>
    <w:rsid w:val="005C7D14"/>
    <w:rsid w:val="005C7DAB"/>
    <w:rsid w:val="005D0B82"/>
    <w:rsid w:val="005D0E89"/>
    <w:rsid w:val="005D0EE7"/>
    <w:rsid w:val="005D16F0"/>
    <w:rsid w:val="005D17E7"/>
    <w:rsid w:val="005D1901"/>
    <w:rsid w:val="005D1A30"/>
    <w:rsid w:val="005D2206"/>
    <w:rsid w:val="005D3608"/>
    <w:rsid w:val="005D3763"/>
    <w:rsid w:val="005D42C4"/>
    <w:rsid w:val="005D4815"/>
    <w:rsid w:val="005D48E4"/>
    <w:rsid w:val="005D4B1A"/>
    <w:rsid w:val="005D54D4"/>
    <w:rsid w:val="005D5A1C"/>
    <w:rsid w:val="005D5CD7"/>
    <w:rsid w:val="005D6AA9"/>
    <w:rsid w:val="005D72AC"/>
    <w:rsid w:val="005D7808"/>
    <w:rsid w:val="005D79B1"/>
    <w:rsid w:val="005E0950"/>
    <w:rsid w:val="005E0E7B"/>
    <w:rsid w:val="005E1392"/>
    <w:rsid w:val="005E2181"/>
    <w:rsid w:val="005E23BB"/>
    <w:rsid w:val="005E3BFC"/>
    <w:rsid w:val="005E4407"/>
    <w:rsid w:val="005E4954"/>
    <w:rsid w:val="005E4A68"/>
    <w:rsid w:val="005E4EA0"/>
    <w:rsid w:val="005E531B"/>
    <w:rsid w:val="005E607A"/>
    <w:rsid w:val="005E70DC"/>
    <w:rsid w:val="005F0491"/>
    <w:rsid w:val="005F08A8"/>
    <w:rsid w:val="005F08DC"/>
    <w:rsid w:val="005F1261"/>
    <w:rsid w:val="005F183C"/>
    <w:rsid w:val="005F1CA6"/>
    <w:rsid w:val="005F2128"/>
    <w:rsid w:val="005F21FD"/>
    <w:rsid w:val="005F2849"/>
    <w:rsid w:val="005F4113"/>
    <w:rsid w:val="005F646B"/>
    <w:rsid w:val="005F67D0"/>
    <w:rsid w:val="005F6A61"/>
    <w:rsid w:val="005F6C64"/>
    <w:rsid w:val="005F78EF"/>
    <w:rsid w:val="005F7AA6"/>
    <w:rsid w:val="0060087B"/>
    <w:rsid w:val="00600F5F"/>
    <w:rsid w:val="0060153D"/>
    <w:rsid w:val="006017B5"/>
    <w:rsid w:val="0060311E"/>
    <w:rsid w:val="00603192"/>
    <w:rsid w:val="00603372"/>
    <w:rsid w:val="00603E1C"/>
    <w:rsid w:val="00603F8D"/>
    <w:rsid w:val="006047BE"/>
    <w:rsid w:val="00604A9B"/>
    <w:rsid w:val="00605286"/>
    <w:rsid w:val="00605562"/>
    <w:rsid w:val="00607558"/>
    <w:rsid w:val="00607728"/>
    <w:rsid w:val="00607891"/>
    <w:rsid w:val="00607DE3"/>
    <w:rsid w:val="0061025A"/>
    <w:rsid w:val="0061025D"/>
    <w:rsid w:val="00610524"/>
    <w:rsid w:val="0061077C"/>
    <w:rsid w:val="0061113D"/>
    <w:rsid w:val="006113C3"/>
    <w:rsid w:val="00611B34"/>
    <w:rsid w:val="00612537"/>
    <w:rsid w:val="00613FDE"/>
    <w:rsid w:val="0061416D"/>
    <w:rsid w:val="006141BE"/>
    <w:rsid w:val="006142E3"/>
    <w:rsid w:val="00614821"/>
    <w:rsid w:val="0061498B"/>
    <w:rsid w:val="00614F8E"/>
    <w:rsid w:val="0061634B"/>
    <w:rsid w:val="0061671B"/>
    <w:rsid w:val="00616BD5"/>
    <w:rsid w:val="00616DA4"/>
    <w:rsid w:val="006177D4"/>
    <w:rsid w:val="0061795B"/>
    <w:rsid w:val="006209DB"/>
    <w:rsid w:val="00620BE9"/>
    <w:rsid w:val="00620F6C"/>
    <w:rsid w:val="00621C9B"/>
    <w:rsid w:val="00623207"/>
    <w:rsid w:val="006243E6"/>
    <w:rsid w:val="00625650"/>
    <w:rsid w:val="0062656D"/>
    <w:rsid w:val="006268F4"/>
    <w:rsid w:val="00627525"/>
    <w:rsid w:val="0063066C"/>
    <w:rsid w:val="006308E2"/>
    <w:rsid w:val="00630B99"/>
    <w:rsid w:val="00631E6B"/>
    <w:rsid w:val="006320D0"/>
    <w:rsid w:val="00632E85"/>
    <w:rsid w:val="0063339B"/>
    <w:rsid w:val="006340C1"/>
    <w:rsid w:val="006346B0"/>
    <w:rsid w:val="0063640A"/>
    <w:rsid w:val="00636544"/>
    <w:rsid w:val="00637032"/>
    <w:rsid w:val="00640065"/>
    <w:rsid w:val="00640630"/>
    <w:rsid w:val="006411AA"/>
    <w:rsid w:val="00641447"/>
    <w:rsid w:val="00641530"/>
    <w:rsid w:val="00641AD9"/>
    <w:rsid w:val="00641C82"/>
    <w:rsid w:val="00642730"/>
    <w:rsid w:val="006429E6"/>
    <w:rsid w:val="00642D5D"/>
    <w:rsid w:val="006434EE"/>
    <w:rsid w:val="00643F2D"/>
    <w:rsid w:val="006448C3"/>
    <w:rsid w:val="00644A79"/>
    <w:rsid w:val="0064600D"/>
    <w:rsid w:val="0064648D"/>
    <w:rsid w:val="00646A3E"/>
    <w:rsid w:val="006474C9"/>
    <w:rsid w:val="00647540"/>
    <w:rsid w:val="00647A7C"/>
    <w:rsid w:val="00647C74"/>
    <w:rsid w:val="00651328"/>
    <w:rsid w:val="00651750"/>
    <w:rsid w:val="006528B4"/>
    <w:rsid w:val="00653CA5"/>
    <w:rsid w:val="00653FC3"/>
    <w:rsid w:val="006545F7"/>
    <w:rsid w:val="006552C8"/>
    <w:rsid w:val="00655B12"/>
    <w:rsid w:val="00655F1C"/>
    <w:rsid w:val="0065604C"/>
    <w:rsid w:val="00656108"/>
    <w:rsid w:val="006564FC"/>
    <w:rsid w:val="00656654"/>
    <w:rsid w:val="00656E7A"/>
    <w:rsid w:val="0065715D"/>
    <w:rsid w:val="00657717"/>
    <w:rsid w:val="006604FD"/>
    <w:rsid w:val="00660A1F"/>
    <w:rsid w:val="00660F93"/>
    <w:rsid w:val="0066143C"/>
    <w:rsid w:val="00661894"/>
    <w:rsid w:val="00663172"/>
    <w:rsid w:val="006639A8"/>
    <w:rsid w:val="00664105"/>
    <w:rsid w:val="0066450E"/>
    <w:rsid w:val="00664BF1"/>
    <w:rsid w:val="00664C82"/>
    <w:rsid w:val="00665741"/>
    <w:rsid w:val="00665A0B"/>
    <w:rsid w:val="00665A1F"/>
    <w:rsid w:val="0066698B"/>
    <w:rsid w:val="00667C81"/>
    <w:rsid w:val="006719B8"/>
    <w:rsid w:val="00672D39"/>
    <w:rsid w:val="00672D5A"/>
    <w:rsid w:val="0067317B"/>
    <w:rsid w:val="0067402D"/>
    <w:rsid w:val="006745DC"/>
    <w:rsid w:val="006747CC"/>
    <w:rsid w:val="00674D2B"/>
    <w:rsid w:val="00676AD5"/>
    <w:rsid w:val="00676CF1"/>
    <w:rsid w:val="00677B9E"/>
    <w:rsid w:val="0068148C"/>
    <w:rsid w:val="00681F90"/>
    <w:rsid w:val="00682605"/>
    <w:rsid w:val="00682CCE"/>
    <w:rsid w:val="006833DE"/>
    <w:rsid w:val="0068400D"/>
    <w:rsid w:val="0068587B"/>
    <w:rsid w:val="00686196"/>
    <w:rsid w:val="006863A1"/>
    <w:rsid w:val="006865EF"/>
    <w:rsid w:val="006868D4"/>
    <w:rsid w:val="00686982"/>
    <w:rsid w:val="00687BEA"/>
    <w:rsid w:val="00687EC9"/>
    <w:rsid w:val="00690565"/>
    <w:rsid w:val="00692669"/>
    <w:rsid w:val="00692C7F"/>
    <w:rsid w:val="00692E11"/>
    <w:rsid w:val="00693486"/>
    <w:rsid w:val="00693A6A"/>
    <w:rsid w:val="006944D3"/>
    <w:rsid w:val="00694529"/>
    <w:rsid w:val="00694AAB"/>
    <w:rsid w:val="00694D13"/>
    <w:rsid w:val="00695AE3"/>
    <w:rsid w:val="00696D29"/>
    <w:rsid w:val="00697D89"/>
    <w:rsid w:val="006A0226"/>
    <w:rsid w:val="006A0700"/>
    <w:rsid w:val="006A0F5D"/>
    <w:rsid w:val="006A2288"/>
    <w:rsid w:val="006A2792"/>
    <w:rsid w:val="006A2A8E"/>
    <w:rsid w:val="006A3499"/>
    <w:rsid w:val="006A35B8"/>
    <w:rsid w:val="006A3891"/>
    <w:rsid w:val="006A3D4C"/>
    <w:rsid w:val="006A4723"/>
    <w:rsid w:val="006A4D09"/>
    <w:rsid w:val="006A5C08"/>
    <w:rsid w:val="006A5D13"/>
    <w:rsid w:val="006A773F"/>
    <w:rsid w:val="006A7769"/>
    <w:rsid w:val="006A7A6E"/>
    <w:rsid w:val="006B00C8"/>
    <w:rsid w:val="006B0E90"/>
    <w:rsid w:val="006B15FE"/>
    <w:rsid w:val="006B1C18"/>
    <w:rsid w:val="006B227A"/>
    <w:rsid w:val="006B24B4"/>
    <w:rsid w:val="006B251C"/>
    <w:rsid w:val="006B2698"/>
    <w:rsid w:val="006B283D"/>
    <w:rsid w:val="006B2E02"/>
    <w:rsid w:val="006B2EA3"/>
    <w:rsid w:val="006B364B"/>
    <w:rsid w:val="006B38FC"/>
    <w:rsid w:val="006B3E90"/>
    <w:rsid w:val="006B44EB"/>
    <w:rsid w:val="006B4630"/>
    <w:rsid w:val="006B4673"/>
    <w:rsid w:val="006B4B8F"/>
    <w:rsid w:val="006B4D62"/>
    <w:rsid w:val="006B5685"/>
    <w:rsid w:val="006B5890"/>
    <w:rsid w:val="006B5D7E"/>
    <w:rsid w:val="006B69BA"/>
    <w:rsid w:val="006B766B"/>
    <w:rsid w:val="006C173C"/>
    <w:rsid w:val="006C26D9"/>
    <w:rsid w:val="006C2D93"/>
    <w:rsid w:val="006C2E41"/>
    <w:rsid w:val="006C3D41"/>
    <w:rsid w:val="006C48FF"/>
    <w:rsid w:val="006C54F7"/>
    <w:rsid w:val="006C5D87"/>
    <w:rsid w:val="006C640B"/>
    <w:rsid w:val="006C67C7"/>
    <w:rsid w:val="006C75C9"/>
    <w:rsid w:val="006C7A91"/>
    <w:rsid w:val="006C7C65"/>
    <w:rsid w:val="006D01E5"/>
    <w:rsid w:val="006D031E"/>
    <w:rsid w:val="006D242C"/>
    <w:rsid w:val="006D37E4"/>
    <w:rsid w:val="006D3F01"/>
    <w:rsid w:val="006D4065"/>
    <w:rsid w:val="006D40E6"/>
    <w:rsid w:val="006D43F8"/>
    <w:rsid w:val="006D4B10"/>
    <w:rsid w:val="006D4B8B"/>
    <w:rsid w:val="006D6368"/>
    <w:rsid w:val="006D657C"/>
    <w:rsid w:val="006D67B8"/>
    <w:rsid w:val="006D73F3"/>
    <w:rsid w:val="006D75FE"/>
    <w:rsid w:val="006E00AF"/>
    <w:rsid w:val="006E03EC"/>
    <w:rsid w:val="006E1126"/>
    <w:rsid w:val="006E1B7C"/>
    <w:rsid w:val="006E1E3B"/>
    <w:rsid w:val="006E1F0C"/>
    <w:rsid w:val="006E232F"/>
    <w:rsid w:val="006E2500"/>
    <w:rsid w:val="006E2D09"/>
    <w:rsid w:val="006E37AE"/>
    <w:rsid w:val="006E3D78"/>
    <w:rsid w:val="006E4680"/>
    <w:rsid w:val="006E506E"/>
    <w:rsid w:val="006E54DF"/>
    <w:rsid w:val="006E5606"/>
    <w:rsid w:val="006E67E2"/>
    <w:rsid w:val="006E705C"/>
    <w:rsid w:val="006F1020"/>
    <w:rsid w:val="006F14CC"/>
    <w:rsid w:val="006F1552"/>
    <w:rsid w:val="006F247A"/>
    <w:rsid w:val="006F2A15"/>
    <w:rsid w:val="006F2A45"/>
    <w:rsid w:val="006F2C7E"/>
    <w:rsid w:val="006F35EF"/>
    <w:rsid w:val="006F4D38"/>
    <w:rsid w:val="006F4E4F"/>
    <w:rsid w:val="006F54B2"/>
    <w:rsid w:val="006F54E4"/>
    <w:rsid w:val="006F66A6"/>
    <w:rsid w:val="006F67EA"/>
    <w:rsid w:val="006F6BA5"/>
    <w:rsid w:val="006F6FBB"/>
    <w:rsid w:val="006F77D6"/>
    <w:rsid w:val="006F7867"/>
    <w:rsid w:val="006F7B10"/>
    <w:rsid w:val="007001AF"/>
    <w:rsid w:val="007005CF"/>
    <w:rsid w:val="0070062D"/>
    <w:rsid w:val="007015FD"/>
    <w:rsid w:val="0070171D"/>
    <w:rsid w:val="007017D1"/>
    <w:rsid w:val="00701BF5"/>
    <w:rsid w:val="00701F37"/>
    <w:rsid w:val="00702D1E"/>
    <w:rsid w:val="007030B5"/>
    <w:rsid w:val="007039D5"/>
    <w:rsid w:val="00704A8E"/>
    <w:rsid w:val="00704F07"/>
    <w:rsid w:val="00705453"/>
    <w:rsid w:val="0070557A"/>
    <w:rsid w:val="007058B8"/>
    <w:rsid w:val="00706CA0"/>
    <w:rsid w:val="007077BC"/>
    <w:rsid w:val="00707ED5"/>
    <w:rsid w:val="007103FE"/>
    <w:rsid w:val="0071052D"/>
    <w:rsid w:val="00710C77"/>
    <w:rsid w:val="007112F4"/>
    <w:rsid w:val="00711DA1"/>
    <w:rsid w:val="00711EBF"/>
    <w:rsid w:val="007126CC"/>
    <w:rsid w:val="007133CD"/>
    <w:rsid w:val="00713DE9"/>
    <w:rsid w:val="00714090"/>
    <w:rsid w:val="00714907"/>
    <w:rsid w:val="00714C8C"/>
    <w:rsid w:val="00715294"/>
    <w:rsid w:val="00716A3D"/>
    <w:rsid w:val="00717C67"/>
    <w:rsid w:val="0072105E"/>
    <w:rsid w:val="00722243"/>
    <w:rsid w:val="00722733"/>
    <w:rsid w:val="00723693"/>
    <w:rsid w:val="007241F8"/>
    <w:rsid w:val="007256F2"/>
    <w:rsid w:val="00725AD8"/>
    <w:rsid w:val="00726631"/>
    <w:rsid w:val="00726C3E"/>
    <w:rsid w:val="00730190"/>
    <w:rsid w:val="007308DC"/>
    <w:rsid w:val="00730959"/>
    <w:rsid w:val="00730CE6"/>
    <w:rsid w:val="00730D45"/>
    <w:rsid w:val="0073102B"/>
    <w:rsid w:val="00731052"/>
    <w:rsid w:val="007313F4"/>
    <w:rsid w:val="00731480"/>
    <w:rsid w:val="00731857"/>
    <w:rsid w:val="00731A92"/>
    <w:rsid w:val="007322A6"/>
    <w:rsid w:val="007328E4"/>
    <w:rsid w:val="00732A5F"/>
    <w:rsid w:val="00732BC6"/>
    <w:rsid w:val="00732DEF"/>
    <w:rsid w:val="0073417C"/>
    <w:rsid w:val="0073472C"/>
    <w:rsid w:val="00734E08"/>
    <w:rsid w:val="00735D30"/>
    <w:rsid w:val="0073632C"/>
    <w:rsid w:val="007365FC"/>
    <w:rsid w:val="00736CBD"/>
    <w:rsid w:val="00740782"/>
    <w:rsid w:val="00740CC7"/>
    <w:rsid w:val="00741636"/>
    <w:rsid w:val="007416AD"/>
    <w:rsid w:val="00742B27"/>
    <w:rsid w:val="00742E6F"/>
    <w:rsid w:val="00744B57"/>
    <w:rsid w:val="0074500C"/>
    <w:rsid w:val="007453D2"/>
    <w:rsid w:val="007459E5"/>
    <w:rsid w:val="00745B3B"/>
    <w:rsid w:val="00746F68"/>
    <w:rsid w:val="007478DF"/>
    <w:rsid w:val="0075128D"/>
    <w:rsid w:val="00751D8A"/>
    <w:rsid w:val="00751EB7"/>
    <w:rsid w:val="00752A41"/>
    <w:rsid w:val="00752CF6"/>
    <w:rsid w:val="00752D46"/>
    <w:rsid w:val="00752ECC"/>
    <w:rsid w:val="0075339D"/>
    <w:rsid w:val="00753FF2"/>
    <w:rsid w:val="007553D5"/>
    <w:rsid w:val="007554CC"/>
    <w:rsid w:val="007556DC"/>
    <w:rsid w:val="00755EDB"/>
    <w:rsid w:val="007578C3"/>
    <w:rsid w:val="00757AC6"/>
    <w:rsid w:val="00757AF5"/>
    <w:rsid w:val="00760FD7"/>
    <w:rsid w:val="007617D0"/>
    <w:rsid w:val="00761F02"/>
    <w:rsid w:val="00762006"/>
    <w:rsid w:val="00762701"/>
    <w:rsid w:val="00763FEB"/>
    <w:rsid w:val="0076440A"/>
    <w:rsid w:val="0076446C"/>
    <w:rsid w:val="00764A5F"/>
    <w:rsid w:val="007658F6"/>
    <w:rsid w:val="00766351"/>
    <w:rsid w:val="007700F4"/>
    <w:rsid w:val="00770DF7"/>
    <w:rsid w:val="00771178"/>
    <w:rsid w:val="0077133A"/>
    <w:rsid w:val="00771381"/>
    <w:rsid w:val="007715DF"/>
    <w:rsid w:val="0077187C"/>
    <w:rsid w:val="0077253E"/>
    <w:rsid w:val="00772895"/>
    <w:rsid w:val="007729B7"/>
    <w:rsid w:val="00773289"/>
    <w:rsid w:val="007736A3"/>
    <w:rsid w:val="0077391A"/>
    <w:rsid w:val="007752A8"/>
    <w:rsid w:val="0077534F"/>
    <w:rsid w:val="0077580A"/>
    <w:rsid w:val="00775A84"/>
    <w:rsid w:val="00775EDD"/>
    <w:rsid w:val="00776166"/>
    <w:rsid w:val="00776230"/>
    <w:rsid w:val="00776DA4"/>
    <w:rsid w:val="0077787B"/>
    <w:rsid w:val="007801C0"/>
    <w:rsid w:val="007805F9"/>
    <w:rsid w:val="00780838"/>
    <w:rsid w:val="00780DFC"/>
    <w:rsid w:val="00781CF7"/>
    <w:rsid w:val="0078300E"/>
    <w:rsid w:val="007838FA"/>
    <w:rsid w:val="00784521"/>
    <w:rsid w:val="00784CDE"/>
    <w:rsid w:val="00785C56"/>
    <w:rsid w:val="007863D4"/>
    <w:rsid w:val="00786996"/>
    <w:rsid w:val="007875DE"/>
    <w:rsid w:val="007878D5"/>
    <w:rsid w:val="00787F86"/>
    <w:rsid w:val="00790AC6"/>
    <w:rsid w:val="00790E75"/>
    <w:rsid w:val="00791795"/>
    <w:rsid w:val="00792089"/>
    <w:rsid w:val="007922A6"/>
    <w:rsid w:val="007926F6"/>
    <w:rsid w:val="0079285E"/>
    <w:rsid w:val="007929D5"/>
    <w:rsid w:val="00792AEF"/>
    <w:rsid w:val="00793A07"/>
    <w:rsid w:val="00794B8D"/>
    <w:rsid w:val="00794C64"/>
    <w:rsid w:val="00794E72"/>
    <w:rsid w:val="00795E67"/>
    <w:rsid w:val="00797CD8"/>
    <w:rsid w:val="007A01BE"/>
    <w:rsid w:val="007A0727"/>
    <w:rsid w:val="007A0BBD"/>
    <w:rsid w:val="007A2591"/>
    <w:rsid w:val="007A26A6"/>
    <w:rsid w:val="007A3714"/>
    <w:rsid w:val="007A3FF7"/>
    <w:rsid w:val="007A41B3"/>
    <w:rsid w:val="007A41B9"/>
    <w:rsid w:val="007A57A1"/>
    <w:rsid w:val="007A5BC0"/>
    <w:rsid w:val="007A686F"/>
    <w:rsid w:val="007A6BCB"/>
    <w:rsid w:val="007B083C"/>
    <w:rsid w:val="007B0AEE"/>
    <w:rsid w:val="007B272A"/>
    <w:rsid w:val="007B2882"/>
    <w:rsid w:val="007B29AF"/>
    <w:rsid w:val="007B35FE"/>
    <w:rsid w:val="007B3A80"/>
    <w:rsid w:val="007B3DA4"/>
    <w:rsid w:val="007B3FA4"/>
    <w:rsid w:val="007B4065"/>
    <w:rsid w:val="007B4946"/>
    <w:rsid w:val="007B4D06"/>
    <w:rsid w:val="007B51A8"/>
    <w:rsid w:val="007B51C3"/>
    <w:rsid w:val="007B520B"/>
    <w:rsid w:val="007B5CF6"/>
    <w:rsid w:val="007B6E7C"/>
    <w:rsid w:val="007C09E1"/>
    <w:rsid w:val="007C181B"/>
    <w:rsid w:val="007C1997"/>
    <w:rsid w:val="007C1FA9"/>
    <w:rsid w:val="007C2722"/>
    <w:rsid w:val="007C2794"/>
    <w:rsid w:val="007C30D4"/>
    <w:rsid w:val="007C3335"/>
    <w:rsid w:val="007C35AF"/>
    <w:rsid w:val="007C3A33"/>
    <w:rsid w:val="007C3AA2"/>
    <w:rsid w:val="007C3BC5"/>
    <w:rsid w:val="007C3D29"/>
    <w:rsid w:val="007C42AC"/>
    <w:rsid w:val="007C48E0"/>
    <w:rsid w:val="007C4A98"/>
    <w:rsid w:val="007C6A04"/>
    <w:rsid w:val="007C7627"/>
    <w:rsid w:val="007D05F2"/>
    <w:rsid w:val="007D0641"/>
    <w:rsid w:val="007D098E"/>
    <w:rsid w:val="007D1455"/>
    <w:rsid w:val="007D1722"/>
    <w:rsid w:val="007D21C6"/>
    <w:rsid w:val="007D274B"/>
    <w:rsid w:val="007D3046"/>
    <w:rsid w:val="007D3228"/>
    <w:rsid w:val="007D35BC"/>
    <w:rsid w:val="007D41C6"/>
    <w:rsid w:val="007D471A"/>
    <w:rsid w:val="007D482A"/>
    <w:rsid w:val="007D5F46"/>
    <w:rsid w:val="007D6644"/>
    <w:rsid w:val="007D6855"/>
    <w:rsid w:val="007D778B"/>
    <w:rsid w:val="007E06B5"/>
    <w:rsid w:val="007E06F7"/>
    <w:rsid w:val="007E208C"/>
    <w:rsid w:val="007E2CDC"/>
    <w:rsid w:val="007E2DD4"/>
    <w:rsid w:val="007E341B"/>
    <w:rsid w:val="007E3823"/>
    <w:rsid w:val="007E4618"/>
    <w:rsid w:val="007E4765"/>
    <w:rsid w:val="007E4897"/>
    <w:rsid w:val="007E48DC"/>
    <w:rsid w:val="007E49AD"/>
    <w:rsid w:val="007E5E3E"/>
    <w:rsid w:val="007E60B2"/>
    <w:rsid w:val="007E74EB"/>
    <w:rsid w:val="007E77B9"/>
    <w:rsid w:val="007F015B"/>
    <w:rsid w:val="007F1905"/>
    <w:rsid w:val="007F24A7"/>
    <w:rsid w:val="007F42C5"/>
    <w:rsid w:val="007F4695"/>
    <w:rsid w:val="007F508F"/>
    <w:rsid w:val="007F6450"/>
    <w:rsid w:val="007F7288"/>
    <w:rsid w:val="00800471"/>
    <w:rsid w:val="008019D8"/>
    <w:rsid w:val="008028E7"/>
    <w:rsid w:val="00803EE5"/>
    <w:rsid w:val="00803F15"/>
    <w:rsid w:val="00804395"/>
    <w:rsid w:val="008044B3"/>
    <w:rsid w:val="008049D9"/>
    <w:rsid w:val="00805030"/>
    <w:rsid w:val="008051B6"/>
    <w:rsid w:val="008055A8"/>
    <w:rsid w:val="0080582C"/>
    <w:rsid w:val="008058C3"/>
    <w:rsid w:val="00805D9F"/>
    <w:rsid w:val="00806F76"/>
    <w:rsid w:val="00807467"/>
    <w:rsid w:val="00807570"/>
    <w:rsid w:val="00807E0A"/>
    <w:rsid w:val="0081026A"/>
    <w:rsid w:val="0081133B"/>
    <w:rsid w:val="00811B67"/>
    <w:rsid w:val="00811C81"/>
    <w:rsid w:val="00811DDD"/>
    <w:rsid w:val="008121FD"/>
    <w:rsid w:val="008124A9"/>
    <w:rsid w:val="00812698"/>
    <w:rsid w:val="008140D4"/>
    <w:rsid w:val="008148B1"/>
    <w:rsid w:val="00814A2C"/>
    <w:rsid w:val="00814A53"/>
    <w:rsid w:val="00814B0F"/>
    <w:rsid w:val="00814B15"/>
    <w:rsid w:val="00815DD8"/>
    <w:rsid w:val="00815EEF"/>
    <w:rsid w:val="00816143"/>
    <w:rsid w:val="00816B12"/>
    <w:rsid w:val="008175C3"/>
    <w:rsid w:val="00820329"/>
    <w:rsid w:val="00820620"/>
    <w:rsid w:val="008207A3"/>
    <w:rsid w:val="0082091F"/>
    <w:rsid w:val="00820D2F"/>
    <w:rsid w:val="00820DED"/>
    <w:rsid w:val="00821AAF"/>
    <w:rsid w:val="00821B21"/>
    <w:rsid w:val="00822C10"/>
    <w:rsid w:val="008232DA"/>
    <w:rsid w:val="00824319"/>
    <w:rsid w:val="008248B0"/>
    <w:rsid w:val="00824D70"/>
    <w:rsid w:val="00824D97"/>
    <w:rsid w:val="00824DFA"/>
    <w:rsid w:val="008250B3"/>
    <w:rsid w:val="00825716"/>
    <w:rsid w:val="00825B58"/>
    <w:rsid w:val="008263C9"/>
    <w:rsid w:val="00826F88"/>
    <w:rsid w:val="00827487"/>
    <w:rsid w:val="0082795D"/>
    <w:rsid w:val="00827FF6"/>
    <w:rsid w:val="0083010F"/>
    <w:rsid w:val="00830DE4"/>
    <w:rsid w:val="008316D0"/>
    <w:rsid w:val="00832EBD"/>
    <w:rsid w:val="00833298"/>
    <w:rsid w:val="008336D8"/>
    <w:rsid w:val="00833A24"/>
    <w:rsid w:val="00833A8E"/>
    <w:rsid w:val="008360D7"/>
    <w:rsid w:val="00837A98"/>
    <w:rsid w:val="00837D75"/>
    <w:rsid w:val="0084088F"/>
    <w:rsid w:val="00840EC0"/>
    <w:rsid w:val="00840F14"/>
    <w:rsid w:val="00841393"/>
    <w:rsid w:val="008419FE"/>
    <w:rsid w:val="00841B16"/>
    <w:rsid w:val="00842789"/>
    <w:rsid w:val="00842B0E"/>
    <w:rsid w:val="0084335A"/>
    <w:rsid w:val="0084347F"/>
    <w:rsid w:val="0084372F"/>
    <w:rsid w:val="008458A5"/>
    <w:rsid w:val="0084604A"/>
    <w:rsid w:val="00846B4E"/>
    <w:rsid w:val="00846E2F"/>
    <w:rsid w:val="00846FDE"/>
    <w:rsid w:val="00847B03"/>
    <w:rsid w:val="00847E66"/>
    <w:rsid w:val="008503F4"/>
    <w:rsid w:val="00851682"/>
    <w:rsid w:val="00851690"/>
    <w:rsid w:val="00851941"/>
    <w:rsid w:val="0085195B"/>
    <w:rsid w:val="00852C46"/>
    <w:rsid w:val="00852FB2"/>
    <w:rsid w:val="0085345C"/>
    <w:rsid w:val="00853BCA"/>
    <w:rsid w:val="00854B48"/>
    <w:rsid w:val="0085544C"/>
    <w:rsid w:val="008554C6"/>
    <w:rsid w:val="00856518"/>
    <w:rsid w:val="008569C9"/>
    <w:rsid w:val="00860AE0"/>
    <w:rsid w:val="00861B75"/>
    <w:rsid w:val="008620A8"/>
    <w:rsid w:val="008620DF"/>
    <w:rsid w:val="008621D2"/>
    <w:rsid w:val="008626BA"/>
    <w:rsid w:val="00862FF8"/>
    <w:rsid w:val="00863557"/>
    <w:rsid w:val="00863AC1"/>
    <w:rsid w:val="0086441B"/>
    <w:rsid w:val="0086558E"/>
    <w:rsid w:val="008659BA"/>
    <w:rsid w:val="00865D52"/>
    <w:rsid w:val="00865DB3"/>
    <w:rsid w:val="00866B9A"/>
    <w:rsid w:val="00866DA6"/>
    <w:rsid w:val="0086767F"/>
    <w:rsid w:val="00867C8B"/>
    <w:rsid w:val="00870163"/>
    <w:rsid w:val="0087036B"/>
    <w:rsid w:val="00871E43"/>
    <w:rsid w:val="00872AC1"/>
    <w:rsid w:val="00872CDE"/>
    <w:rsid w:val="00872F9A"/>
    <w:rsid w:val="0087361C"/>
    <w:rsid w:val="00873D05"/>
    <w:rsid w:val="00873F29"/>
    <w:rsid w:val="00874E0E"/>
    <w:rsid w:val="00874E5F"/>
    <w:rsid w:val="00874F0C"/>
    <w:rsid w:val="00875667"/>
    <w:rsid w:val="00877475"/>
    <w:rsid w:val="00877A14"/>
    <w:rsid w:val="00877F19"/>
    <w:rsid w:val="00880154"/>
    <w:rsid w:val="00880429"/>
    <w:rsid w:val="008810BA"/>
    <w:rsid w:val="008812D3"/>
    <w:rsid w:val="00881B2E"/>
    <w:rsid w:val="00881E02"/>
    <w:rsid w:val="00881F58"/>
    <w:rsid w:val="00882F60"/>
    <w:rsid w:val="008831D3"/>
    <w:rsid w:val="00883352"/>
    <w:rsid w:val="008834F3"/>
    <w:rsid w:val="00883615"/>
    <w:rsid w:val="00884655"/>
    <w:rsid w:val="00885439"/>
    <w:rsid w:val="00885797"/>
    <w:rsid w:val="00887B0E"/>
    <w:rsid w:val="00887EC7"/>
    <w:rsid w:val="00890C18"/>
    <w:rsid w:val="008910BF"/>
    <w:rsid w:val="00891424"/>
    <w:rsid w:val="00892108"/>
    <w:rsid w:val="00892C15"/>
    <w:rsid w:val="00892D86"/>
    <w:rsid w:val="00892E9E"/>
    <w:rsid w:val="008939EE"/>
    <w:rsid w:val="00893DA6"/>
    <w:rsid w:val="00893FD1"/>
    <w:rsid w:val="008946EF"/>
    <w:rsid w:val="00895C02"/>
    <w:rsid w:val="00896756"/>
    <w:rsid w:val="00896A9B"/>
    <w:rsid w:val="008A089D"/>
    <w:rsid w:val="008A09C4"/>
    <w:rsid w:val="008A0ABB"/>
    <w:rsid w:val="008A0EFE"/>
    <w:rsid w:val="008A142F"/>
    <w:rsid w:val="008A1453"/>
    <w:rsid w:val="008A14F8"/>
    <w:rsid w:val="008A1B6B"/>
    <w:rsid w:val="008A21DE"/>
    <w:rsid w:val="008A231A"/>
    <w:rsid w:val="008A2430"/>
    <w:rsid w:val="008A24BF"/>
    <w:rsid w:val="008A2968"/>
    <w:rsid w:val="008A371E"/>
    <w:rsid w:val="008A37B3"/>
    <w:rsid w:val="008A3E75"/>
    <w:rsid w:val="008A41A7"/>
    <w:rsid w:val="008A43E5"/>
    <w:rsid w:val="008A48E1"/>
    <w:rsid w:val="008A5624"/>
    <w:rsid w:val="008A5DF3"/>
    <w:rsid w:val="008A6062"/>
    <w:rsid w:val="008A6B3D"/>
    <w:rsid w:val="008A724C"/>
    <w:rsid w:val="008A72F9"/>
    <w:rsid w:val="008B071B"/>
    <w:rsid w:val="008B16A8"/>
    <w:rsid w:val="008B2EC8"/>
    <w:rsid w:val="008B35B2"/>
    <w:rsid w:val="008B3D1A"/>
    <w:rsid w:val="008B44E7"/>
    <w:rsid w:val="008B4722"/>
    <w:rsid w:val="008B5135"/>
    <w:rsid w:val="008B5F89"/>
    <w:rsid w:val="008B6077"/>
    <w:rsid w:val="008B65A4"/>
    <w:rsid w:val="008B664D"/>
    <w:rsid w:val="008B6EA8"/>
    <w:rsid w:val="008B7314"/>
    <w:rsid w:val="008B74A4"/>
    <w:rsid w:val="008B7DC1"/>
    <w:rsid w:val="008B7DF7"/>
    <w:rsid w:val="008C05DE"/>
    <w:rsid w:val="008C06D8"/>
    <w:rsid w:val="008C096D"/>
    <w:rsid w:val="008C0A50"/>
    <w:rsid w:val="008C13EB"/>
    <w:rsid w:val="008C172F"/>
    <w:rsid w:val="008C262C"/>
    <w:rsid w:val="008C26FF"/>
    <w:rsid w:val="008C277B"/>
    <w:rsid w:val="008C2933"/>
    <w:rsid w:val="008C2F4F"/>
    <w:rsid w:val="008C339E"/>
    <w:rsid w:val="008C33DF"/>
    <w:rsid w:val="008C3CA7"/>
    <w:rsid w:val="008C3FF0"/>
    <w:rsid w:val="008C4477"/>
    <w:rsid w:val="008C4868"/>
    <w:rsid w:val="008C486F"/>
    <w:rsid w:val="008C4F79"/>
    <w:rsid w:val="008C50A7"/>
    <w:rsid w:val="008C6087"/>
    <w:rsid w:val="008C70E7"/>
    <w:rsid w:val="008C7B89"/>
    <w:rsid w:val="008C7DD9"/>
    <w:rsid w:val="008D037B"/>
    <w:rsid w:val="008D100C"/>
    <w:rsid w:val="008D152B"/>
    <w:rsid w:val="008D1624"/>
    <w:rsid w:val="008D1BAE"/>
    <w:rsid w:val="008D2349"/>
    <w:rsid w:val="008D2713"/>
    <w:rsid w:val="008D2822"/>
    <w:rsid w:val="008D28DB"/>
    <w:rsid w:val="008D2DAA"/>
    <w:rsid w:val="008D37D9"/>
    <w:rsid w:val="008D40B2"/>
    <w:rsid w:val="008D5058"/>
    <w:rsid w:val="008D523D"/>
    <w:rsid w:val="008D57C4"/>
    <w:rsid w:val="008D5BA1"/>
    <w:rsid w:val="008D5C40"/>
    <w:rsid w:val="008D5C9D"/>
    <w:rsid w:val="008D6146"/>
    <w:rsid w:val="008D63E3"/>
    <w:rsid w:val="008D6F5E"/>
    <w:rsid w:val="008D75CA"/>
    <w:rsid w:val="008D7B6D"/>
    <w:rsid w:val="008E0A9A"/>
    <w:rsid w:val="008E0EAB"/>
    <w:rsid w:val="008E157A"/>
    <w:rsid w:val="008E1720"/>
    <w:rsid w:val="008E1B79"/>
    <w:rsid w:val="008E3062"/>
    <w:rsid w:val="008E4696"/>
    <w:rsid w:val="008E501E"/>
    <w:rsid w:val="008E5654"/>
    <w:rsid w:val="008E60FD"/>
    <w:rsid w:val="008E6C53"/>
    <w:rsid w:val="008E7439"/>
    <w:rsid w:val="008F05E1"/>
    <w:rsid w:val="008F072A"/>
    <w:rsid w:val="008F2883"/>
    <w:rsid w:val="008F2F49"/>
    <w:rsid w:val="008F3496"/>
    <w:rsid w:val="008F3784"/>
    <w:rsid w:val="008F3AFC"/>
    <w:rsid w:val="008F4469"/>
    <w:rsid w:val="008F4FE6"/>
    <w:rsid w:val="008F5261"/>
    <w:rsid w:val="008F551D"/>
    <w:rsid w:val="008F63DB"/>
    <w:rsid w:val="008F6808"/>
    <w:rsid w:val="008F68B5"/>
    <w:rsid w:val="008F6A1A"/>
    <w:rsid w:val="008F7BED"/>
    <w:rsid w:val="0090051D"/>
    <w:rsid w:val="0090085D"/>
    <w:rsid w:val="0090098A"/>
    <w:rsid w:val="00900AE6"/>
    <w:rsid w:val="0090133D"/>
    <w:rsid w:val="009019DF"/>
    <w:rsid w:val="0090317D"/>
    <w:rsid w:val="00903416"/>
    <w:rsid w:val="0090345C"/>
    <w:rsid w:val="0090490C"/>
    <w:rsid w:val="00905723"/>
    <w:rsid w:val="00906083"/>
    <w:rsid w:val="00906FCA"/>
    <w:rsid w:val="0090717C"/>
    <w:rsid w:val="0090731D"/>
    <w:rsid w:val="00910531"/>
    <w:rsid w:val="0091111B"/>
    <w:rsid w:val="00911CC5"/>
    <w:rsid w:val="009125BC"/>
    <w:rsid w:val="0091328E"/>
    <w:rsid w:val="00913B0D"/>
    <w:rsid w:val="00915705"/>
    <w:rsid w:val="00916542"/>
    <w:rsid w:val="00916D80"/>
    <w:rsid w:val="0091739F"/>
    <w:rsid w:val="009207DA"/>
    <w:rsid w:val="00920D39"/>
    <w:rsid w:val="00920F7B"/>
    <w:rsid w:val="009219A7"/>
    <w:rsid w:val="00922C35"/>
    <w:rsid w:val="0092360A"/>
    <w:rsid w:val="00923881"/>
    <w:rsid w:val="009251D4"/>
    <w:rsid w:val="0092534B"/>
    <w:rsid w:val="009261C6"/>
    <w:rsid w:val="00926224"/>
    <w:rsid w:val="0092744A"/>
    <w:rsid w:val="009305C2"/>
    <w:rsid w:val="00930AA6"/>
    <w:rsid w:val="00930DC9"/>
    <w:rsid w:val="0093218E"/>
    <w:rsid w:val="00933D96"/>
    <w:rsid w:val="009345F9"/>
    <w:rsid w:val="00934B0A"/>
    <w:rsid w:val="00934B93"/>
    <w:rsid w:val="00935617"/>
    <w:rsid w:val="009359B3"/>
    <w:rsid w:val="00935A94"/>
    <w:rsid w:val="00936169"/>
    <w:rsid w:val="00936779"/>
    <w:rsid w:val="009369A0"/>
    <w:rsid w:val="00936EA8"/>
    <w:rsid w:val="00940192"/>
    <w:rsid w:val="00942497"/>
    <w:rsid w:val="00943376"/>
    <w:rsid w:val="00943435"/>
    <w:rsid w:val="0094363C"/>
    <w:rsid w:val="00943C07"/>
    <w:rsid w:val="00944035"/>
    <w:rsid w:val="00945F38"/>
    <w:rsid w:val="0094642C"/>
    <w:rsid w:val="00947718"/>
    <w:rsid w:val="00947786"/>
    <w:rsid w:val="00950A25"/>
    <w:rsid w:val="00950A6A"/>
    <w:rsid w:val="00950DBD"/>
    <w:rsid w:val="0095157C"/>
    <w:rsid w:val="009516F7"/>
    <w:rsid w:val="00951DED"/>
    <w:rsid w:val="00951E8D"/>
    <w:rsid w:val="009521F8"/>
    <w:rsid w:val="0095435F"/>
    <w:rsid w:val="00954C06"/>
    <w:rsid w:val="0095569C"/>
    <w:rsid w:val="00956506"/>
    <w:rsid w:val="0095795E"/>
    <w:rsid w:val="00957C35"/>
    <w:rsid w:val="00960153"/>
    <w:rsid w:val="0096045A"/>
    <w:rsid w:val="009615C6"/>
    <w:rsid w:val="00961AFB"/>
    <w:rsid w:val="00961D8B"/>
    <w:rsid w:val="00961F20"/>
    <w:rsid w:val="009624F3"/>
    <w:rsid w:val="009627F9"/>
    <w:rsid w:val="009627FD"/>
    <w:rsid w:val="00963963"/>
    <w:rsid w:val="00965446"/>
    <w:rsid w:val="00966C36"/>
    <w:rsid w:val="009705AD"/>
    <w:rsid w:val="00970D8E"/>
    <w:rsid w:val="0097117A"/>
    <w:rsid w:val="0097291B"/>
    <w:rsid w:val="009736AA"/>
    <w:rsid w:val="009736D3"/>
    <w:rsid w:val="0097371D"/>
    <w:rsid w:val="0097392F"/>
    <w:rsid w:val="00975081"/>
    <w:rsid w:val="009751EF"/>
    <w:rsid w:val="009763D2"/>
    <w:rsid w:val="009766BD"/>
    <w:rsid w:val="00976C07"/>
    <w:rsid w:val="009771D4"/>
    <w:rsid w:val="00977AD1"/>
    <w:rsid w:val="00977C17"/>
    <w:rsid w:val="009800BE"/>
    <w:rsid w:val="009805DF"/>
    <w:rsid w:val="00980EAD"/>
    <w:rsid w:val="0098101B"/>
    <w:rsid w:val="009812DD"/>
    <w:rsid w:val="009813BA"/>
    <w:rsid w:val="00981945"/>
    <w:rsid w:val="00981C7E"/>
    <w:rsid w:val="00981DD0"/>
    <w:rsid w:val="00981FFA"/>
    <w:rsid w:val="009828D4"/>
    <w:rsid w:val="00982C4D"/>
    <w:rsid w:val="009833AB"/>
    <w:rsid w:val="009840A6"/>
    <w:rsid w:val="009843F1"/>
    <w:rsid w:val="00985B4C"/>
    <w:rsid w:val="00986C5E"/>
    <w:rsid w:val="009871BE"/>
    <w:rsid w:val="009878BB"/>
    <w:rsid w:val="00990643"/>
    <w:rsid w:val="00990F0C"/>
    <w:rsid w:val="009917F4"/>
    <w:rsid w:val="00993585"/>
    <w:rsid w:val="00994170"/>
    <w:rsid w:val="00994248"/>
    <w:rsid w:val="0099426A"/>
    <w:rsid w:val="009942F8"/>
    <w:rsid w:val="009965B1"/>
    <w:rsid w:val="00996863"/>
    <w:rsid w:val="00996A3C"/>
    <w:rsid w:val="00996F1E"/>
    <w:rsid w:val="00996F7C"/>
    <w:rsid w:val="00997AC4"/>
    <w:rsid w:val="009A000E"/>
    <w:rsid w:val="009A00E7"/>
    <w:rsid w:val="009A16A2"/>
    <w:rsid w:val="009A1964"/>
    <w:rsid w:val="009A1DC9"/>
    <w:rsid w:val="009A2030"/>
    <w:rsid w:val="009A2B8E"/>
    <w:rsid w:val="009A36BC"/>
    <w:rsid w:val="009A3956"/>
    <w:rsid w:val="009A3B20"/>
    <w:rsid w:val="009A4448"/>
    <w:rsid w:val="009A4E4E"/>
    <w:rsid w:val="009A5126"/>
    <w:rsid w:val="009A5861"/>
    <w:rsid w:val="009A5988"/>
    <w:rsid w:val="009A6716"/>
    <w:rsid w:val="009A76D8"/>
    <w:rsid w:val="009B07E0"/>
    <w:rsid w:val="009B1018"/>
    <w:rsid w:val="009B15F6"/>
    <w:rsid w:val="009B1681"/>
    <w:rsid w:val="009B2DE9"/>
    <w:rsid w:val="009B2F59"/>
    <w:rsid w:val="009B4B06"/>
    <w:rsid w:val="009B4ED0"/>
    <w:rsid w:val="009B6335"/>
    <w:rsid w:val="009B65CA"/>
    <w:rsid w:val="009B7226"/>
    <w:rsid w:val="009B759D"/>
    <w:rsid w:val="009B7874"/>
    <w:rsid w:val="009C0333"/>
    <w:rsid w:val="009C0A55"/>
    <w:rsid w:val="009C151D"/>
    <w:rsid w:val="009C1569"/>
    <w:rsid w:val="009C15A2"/>
    <w:rsid w:val="009C1BA5"/>
    <w:rsid w:val="009C2C40"/>
    <w:rsid w:val="009C2DE0"/>
    <w:rsid w:val="009C38F4"/>
    <w:rsid w:val="009C3B0C"/>
    <w:rsid w:val="009C3D3E"/>
    <w:rsid w:val="009C4520"/>
    <w:rsid w:val="009C4ECC"/>
    <w:rsid w:val="009C4FA3"/>
    <w:rsid w:val="009C53DB"/>
    <w:rsid w:val="009C60E2"/>
    <w:rsid w:val="009C79B0"/>
    <w:rsid w:val="009C7A3A"/>
    <w:rsid w:val="009D0763"/>
    <w:rsid w:val="009D0D11"/>
    <w:rsid w:val="009D1809"/>
    <w:rsid w:val="009D1BFA"/>
    <w:rsid w:val="009D2565"/>
    <w:rsid w:val="009D2C40"/>
    <w:rsid w:val="009D3164"/>
    <w:rsid w:val="009D33CA"/>
    <w:rsid w:val="009D3476"/>
    <w:rsid w:val="009D46F8"/>
    <w:rsid w:val="009D49FD"/>
    <w:rsid w:val="009D506A"/>
    <w:rsid w:val="009D518B"/>
    <w:rsid w:val="009D537A"/>
    <w:rsid w:val="009D5625"/>
    <w:rsid w:val="009D57BF"/>
    <w:rsid w:val="009D66BA"/>
    <w:rsid w:val="009D67E9"/>
    <w:rsid w:val="009D7CF5"/>
    <w:rsid w:val="009D7D4B"/>
    <w:rsid w:val="009E0361"/>
    <w:rsid w:val="009E04F3"/>
    <w:rsid w:val="009E1330"/>
    <w:rsid w:val="009E1640"/>
    <w:rsid w:val="009E2477"/>
    <w:rsid w:val="009E2641"/>
    <w:rsid w:val="009E2A00"/>
    <w:rsid w:val="009E2C35"/>
    <w:rsid w:val="009E2DBC"/>
    <w:rsid w:val="009E2F6D"/>
    <w:rsid w:val="009E4574"/>
    <w:rsid w:val="009E45F6"/>
    <w:rsid w:val="009E4699"/>
    <w:rsid w:val="009E4E48"/>
    <w:rsid w:val="009E4FF3"/>
    <w:rsid w:val="009E571E"/>
    <w:rsid w:val="009E5782"/>
    <w:rsid w:val="009E5FF9"/>
    <w:rsid w:val="009E6597"/>
    <w:rsid w:val="009E6734"/>
    <w:rsid w:val="009E74E0"/>
    <w:rsid w:val="009E798D"/>
    <w:rsid w:val="009E7BCE"/>
    <w:rsid w:val="009E7C55"/>
    <w:rsid w:val="009F056C"/>
    <w:rsid w:val="009F121B"/>
    <w:rsid w:val="009F1798"/>
    <w:rsid w:val="009F18D3"/>
    <w:rsid w:val="009F268B"/>
    <w:rsid w:val="009F27C2"/>
    <w:rsid w:val="009F29E0"/>
    <w:rsid w:val="009F30CE"/>
    <w:rsid w:val="009F341A"/>
    <w:rsid w:val="009F3715"/>
    <w:rsid w:val="009F3B47"/>
    <w:rsid w:val="009F3D9A"/>
    <w:rsid w:val="009F423D"/>
    <w:rsid w:val="009F446E"/>
    <w:rsid w:val="009F4573"/>
    <w:rsid w:val="009F4AE2"/>
    <w:rsid w:val="009F4D8C"/>
    <w:rsid w:val="009F4E1B"/>
    <w:rsid w:val="009F54F8"/>
    <w:rsid w:val="009F5770"/>
    <w:rsid w:val="009F5800"/>
    <w:rsid w:val="009F5B09"/>
    <w:rsid w:val="009F5D72"/>
    <w:rsid w:val="009F5FAB"/>
    <w:rsid w:val="009F62D4"/>
    <w:rsid w:val="009F6D50"/>
    <w:rsid w:val="009F7495"/>
    <w:rsid w:val="009F749A"/>
    <w:rsid w:val="009F78AA"/>
    <w:rsid w:val="009F79EC"/>
    <w:rsid w:val="009F7B6F"/>
    <w:rsid w:val="00A00205"/>
    <w:rsid w:val="00A0030A"/>
    <w:rsid w:val="00A00969"/>
    <w:rsid w:val="00A00DEF"/>
    <w:rsid w:val="00A00E0C"/>
    <w:rsid w:val="00A01641"/>
    <w:rsid w:val="00A01957"/>
    <w:rsid w:val="00A01AB0"/>
    <w:rsid w:val="00A01D73"/>
    <w:rsid w:val="00A027B8"/>
    <w:rsid w:val="00A02B91"/>
    <w:rsid w:val="00A04048"/>
    <w:rsid w:val="00A04938"/>
    <w:rsid w:val="00A04943"/>
    <w:rsid w:val="00A05FB4"/>
    <w:rsid w:val="00A06396"/>
    <w:rsid w:val="00A066D8"/>
    <w:rsid w:val="00A07DBE"/>
    <w:rsid w:val="00A07F8A"/>
    <w:rsid w:val="00A10C31"/>
    <w:rsid w:val="00A11406"/>
    <w:rsid w:val="00A115A1"/>
    <w:rsid w:val="00A11AAB"/>
    <w:rsid w:val="00A12504"/>
    <w:rsid w:val="00A12679"/>
    <w:rsid w:val="00A15B07"/>
    <w:rsid w:val="00A16539"/>
    <w:rsid w:val="00A16C13"/>
    <w:rsid w:val="00A2138C"/>
    <w:rsid w:val="00A21932"/>
    <w:rsid w:val="00A21C79"/>
    <w:rsid w:val="00A233EF"/>
    <w:rsid w:val="00A23ADF"/>
    <w:rsid w:val="00A24C68"/>
    <w:rsid w:val="00A25496"/>
    <w:rsid w:val="00A25725"/>
    <w:rsid w:val="00A26687"/>
    <w:rsid w:val="00A268D5"/>
    <w:rsid w:val="00A30F64"/>
    <w:rsid w:val="00A3214F"/>
    <w:rsid w:val="00A32D53"/>
    <w:rsid w:val="00A33106"/>
    <w:rsid w:val="00A3391E"/>
    <w:rsid w:val="00A33B99"/>
    <w:rsid w:val="00A33F7A"/>
    <w:rsid w:val="00A373A1"/>
    <w:rsid w:val="00A37769"/>
    <w:rsid w:val="00A37DFC"/>
    <w:rsid w:val="00A37F00"/>
    <w:rsid w:val="00A42B94"/>
    <w:rsid w:val="00A43945"/>
    <w:rsid w:val="00A445AF"/>
    <w:rsid w:val="00A44985"/>
    <w:rsid w:val="00A4536D"/>
    <w:rsid w:val="00A457E9"/>
    <w:rsid w:val="00A45B34"/>
    <w:rsid w:val="00A4748F"/>
    <w:rsid w:val="00A47EA2"/>
    <w:rsid w:val="00A50143"/>
    <w:rsid w:val="00A50CFC"/>
    <w:rsid w:val="00A51333"/>
    <w:rsid w:val="00A51D70"/>
    <w:rsid w:val="00A51FC4"/>
    <w:rsid w:val="00A5255B"/>
    <w:rsid w:val="00A52E82"/>
    <w:rsid w:val="00A5307B"/>
    <w:rsid w:val="00A53200"/>
    <w:rsid w:val="00A53298"/>
    <w:rsid w:val="00A534F7"/>
    <w:rsid w:val="00A53650"/>
    <w:rsid w:val="00A548AD"/>
    <w:rsid w:val="00A54A71"/>
    <w:rsid w:val="00A556B0"/>
    <w:rsid w:val="00A56319"/>
    <w:rsid w:val="00A60074"/>
    <w:rsid w:val="00A6087C"/>
    <w:rsid w:val="00A60F39"/>
    <w:rsid w:val="00A6169A"/>
    <w:rsid w:val="00A622C8"/>
    <w:rsid w:val="00A62F08"/>
    <w:rsid w:val="00A64643"/>
    <w:rsid w:val="00A64CA4"/>
    <w:rsid w:val="00A6512D"/>
    <w:rsid w:val="00A65E36"/>
    <w:rsid w:val="00A661B2"/>
    <w:rsid w:val="00A6621C"/>
    <w:rsid w:val="00A662E8"/>
    <w:rsid w:val="00A66E10"/>
    <w:rsid w:val="00A67472"/>
    <w:rsid w:val="00A67605"/>
    <w:rsid w:val="00A710D2"/>
    <w:rsid w:val="00A711EC"/>
    <w:rsid w:val="00A71371"/>
    <w:rsid w:val="00A714EE"/>
    <w:rsid w:val="00A71EFE"/>
    <w:rsid w:val="00A720BC"/>
    <w:rsid w:val="00A72889"/>
    <w:rsid w:val="00A72C83"/>
    <w:rsid w:val="00A73E84"/>
    <w:rsid w:val="00A74F56"/>
    <w:rsid w:val="00A751A1"/>
    <w:rsid w:val="00A75707"/>
    <w:rsid w:val="00A76944"/>
    <w:rsid w:val="00A76B67"/>
    <w:rsid w:val="00A800DF"/>
    <w:rsid w:val="00A80455"/>
    <w:rsid w:val="00A80B62"/>
    <w:rsid w:val="00A80CAC"/>
    <w:rsid w:val="00A812C6"/>
    <w:rsid w:val="00A81AB1"/>
    <w:rsid w:val="00A81F9B"/>
    <w:rsid w:val="00A8263C"/>
    <w:rsid w:val="00A82809"/>
    <w:rsid w:val="00A83120"/>
    <w:rsid w:val="00A834A7"/>
    <w:rsid w:val="00A83B5C"/>
    <w:rsid w:val="00A852DE"/>
    <w:rsid w:val="00A85666"/>
    <w:rsid w:val="00A85F0A"/>
    <w:rsid w:val="00A87056"/>
    <w:rsid w:val="00A87138"/>
    <w:rsid w:val="00A872A2"/>
    <w:rsid w:val="00A87C75"/>
    <w:rsid w:val="00A90F76"/>
    <w:rsid w:val="00A91D3C"/>
    <w:rsid w:val="00A92494"/>
    <w:rsid w:val="00A928A5"/>
    <w:rsid w:val="00A92DE5"/>
    <w:rsid w:val="00A930C5"/>
    <w:rsid w:val="00A94348"/>
    <w:rsid w:val="00A944B1"/>
    <w:rsid w:val="00A94936"/>
    <w:rsid w:val="00A94FA5"/>
    <w:rsid w:val="00A95338"/>
    <w:rsid w:val="00A955BC"/>
    <w:rsid w:val="00A95B6D"/>
    <w:rsid w:val="00A96545"/>
    <w:rsid w:val="00A96923"/>
    <w:rsid w:val="00A96AF5"/>
    <w:rsid w:val="00A96C60"/>
    <w:rsid w:val="00A96DF1"/>
    <w:rsid w:val="00A97D68"/>
    <w:rsid w:val="00AA0036"/>
    <w:rsid w:val="00AA0276"/>
    <w:rsid w:val="00AA0279"/>
    <w:rsid w:val="00AA0FE9"/>
    <w:rsid w:val="00AA1261"/>
    <w:rsid w:val="00AA1E40"/>
    <w:rsid w:val="00AA21ED"/>
    <w:rsid w:val="00AA2795"/>
    <w:rsid w:val="00AA3AD1"/>
    <w:rsid w:val="00AA3F51"/>
    <w:rsid w:val="00AA57E5"/>
    <w:rsid w:val="00AA65DC"/>
    <w:rsid w:val="00AA7599"/>
    <w:rsid w:val="00AA7C66"/>
    <w:rsid w:val="00AB109E"/>
    <w:rsid w:val="00AB15CC"/>
    <w:rsid w:val="00AB1BE5"/>
    <w:rsid w:val="00AB2E14"/>
    <w:rsid w:val="00AB33CC"/>
    <w:rsid w:val="00AB35F5"/>
    <w:rsid w:val="00AB3AE0"/>
    <w:rsid w:val="00AB44DD"/>
    <w:rsid w:val="00AB506B"/>
    <w:rsid w:val="00AB587A"/>
    <w:rsid w:val="00AB5EA3"/>
    <w:rsid w:val="00AB614B"/>
    <w:rsid w:val="00AB619C"/>
    <w:rsid w:val="00AB7055"/>
    <w:rsid w:val="00AB7281"/>
    <w:rsid w:val="00AB738A"/>
    <w:rsid w:val="00AB79B7"/>
    <w:rsid w:val="00AC0158"/>
    <w:rsid w:val="00AC139E"/>
    <w:rsid w:val="00AC3C4E"/>
    <w:rsid w:val="00AC4431"/>
    <w:rsid w:val="00AC4D7B"/>
    <w:rsid w:val="00AC50D3"/>
    <w:rsid w:val="00AC6C0F"/>
    <w:rsid w:val="00AD04C0"/>
    <w:rsid w:val="00AD11B4"/>
    <w:rsid w:val="00AD2CAD"/>
    <w:rsid w:val="00AD365B"/>
    <w:rsid w:val="00AD3A06"/>
    <w:rsid w:val="00AD3B86"/>
    <w:rsid w:val="00AD5020"/>
    <w:rsid w:val="00AD5EB1"/>
    <w:rsid w:val="00AD7D23"/>
    <w:rsid w:val="00AE015C"/>
    <w:rsid w:val="00AE12EC"/>
    <w:rsid w:val="00AE12FA"/>
    <w:rsid w:val="00AE2006"/>
    <w:rsid w:val="00AE323E"/>
    <w:rsid w:val="00AE3A51"/>
    <w:rsid w:val="00AE3AEA"/>
    <w:rsid w:val="00AE3CF0"/>
    <w:rsid w:val="00AE40DB"/>
    <w:rsid w:val="00AE41A1"/>
    <w:rsid w:val="00AE46C1"/>
    <w:rsid w:val="00AE4F2A"/>
    <w:rsid w:val="00AE5E36"/>
    <w:rsid w:val="00AE61AB"/>
    <w:rsid w:val="00AE6C74"/>
    <w:rsid w:val="00AE6E7A"/>
    <w:rsid w:val="00AE721E"/>
    <w:rsid w:val="00AF026D"/>
    <w:rsid w:val="00AF1B1C"/>
    <w:rsid w:val="00AF1BA7"/>
    <w:rsid w:val="00AF23E2"/>
    <w:rsid w:val="00AF2515"/>
    <w:rsid w:val="00AF2A90"/>
    <w:rsid w:val="00AF349E"/>
    <w:rsid w:val="00AF364C"/>
    <w:rsid w:val="00AF3B98"/>
    <w:rsid w:val="00AF44A2"/>
    <w:rsid w:val="00AF4D7F"/>
    <w:rsid w:val="00AF5F5C"/>
    <w:rsid w:val="00AF6AA6"/>
    <w:rsid w:val="00AF6EBD"/>
    <w:rsid w:val="00AF79CD"/>
    <w:rsid w:val="00AF7A2B"/>
    <w:rsid w:val="00B0003A"/>
    <w:rsid w:val="00B01191"/>
    <w:rsid w:val="00B01896"/>
    <w:rsid w:val="00B018EF"/>
    <w:rsid w:val="00B01956"/>
    <w:rsid w:val="00B01DAE"/>
    <w:rsid w:val="00B01E82"/>
    <w:rsid w:val="00B02595"/>
    <w:rsid w:val="00B030A3"/>
    <w:rsid w:val="00B032F6"/>
    <w:rsid w:val="00B03FAC"/>
    <w:rsid w:val="00B04654"/>
    <w:rsid w:val="00B04A50"/>
    <w:rsid w:val="00B04E2A"/>
    <w:rsid w:val="00B05313"/>
    <w:rsid w:val="00B05338"/>
    <w:rsid w:val="00B06377"/>
    <w:rsid w:val="00B0705F"/>
    <w:rsid w:val="00B07392"/>
    <w:rsid w:val="00B1001B"/>
    <w:rsid w:val="00B10738"/>
    <w:rsid w:val="00B1094D"/>
    <w:rsid w:val="00B109FF"/>
    <w:rsid w:val="00B10A5E"/>
    <w:rsid w:val="00B10D7E"/>
    <w:rsid w:val="00B11063"/>
    <w:rsid w:val="00B11487"/>
    <w:rsid w:val="00B12DBA"/>
    <w:rsid w:val="00B12E5A"/>
    <w:rsid w:val="00B1301A"/>
    <w:rsid w:val="00B1433F"/>
    <w:rsid w:val="00B1462D"/>
    <w:rsid w:val="00B1537F"/>
    <w:rsid w:val="00B156B9"/>
    <w:rsid w:val="00B16788"/>
    <w:rsid w:val="00B168F1"/>
    <w:rsid w:val="00B1740A"/>
    <w:rsid w:val="00B20963"/>
    <w:rsid w:val="00B21101"/>
    <w:rsid w:val="00B22541"/>
    <w:rsid w:val="00B22909"/>
    <w:rsid w:val="00B22C1E"/>
    <w:rsid w:val="00B24189"/>
    <w:rsid w:val="00B254D4"/>
    <w:rsid w:val="00B25C44"/>
    <w:rsid w:val="00B25D2F"/>
    <w:rsid w:val="00B26706"/>
    <w:rsid w:val="00B26FEC"/>
    <w:rsid w:val="00B2768E"/>
    <w:rsid w:val="00B276BE"/>
    <w:rsid w:val="00B27A1B"/>
    <w:rsid w:val="00B30187"/>
    <w:rsid w:val="00B30A03"/>
    <w:rsid w:val="00B30F44"/>
    <w:rsid w:val="00B32ED7"/>
    <w:rsid w:val="00B33BE0"/>
    <w:rsid w:val="00B33F2D"/>
    <w:rsid w:val="00B34D9A"/>
    <w:rsid w:val="00B34E40"/>
    <w:rsid w:val="00B350E6"/>
    <w:rsid w:val="00B35DE5"/>
    <w:rsid w:val="00B3622C"/>
    <w:rsid w:val="00B363C3"/>
    <w:rsid w:val="00B36430"/>
    <w:rsid w:val="00B36C14"/>
    <w:rsid w:val="00B36CD9"/>
    <w:rsid w:val="00B37342"/>
    <w:rsid w:val="00B40252"/>
    <w:rsid w:val="00B409AB"/>
    <w:rsid w:val="00B41371"/>
    <w:rsid w:val="00B41A1B"/>
    <w:rsid w:val="00B43055"/>
    <w:rsid w:val="00B464A7"/>
    <w:rsid w:val="00B464F5"/>
    <w:rsid w:val="00B46EE0"/>
    <w:rsid w:val="00B46F7A"/>
    <w:rsid w:val="00B47166"/>
    <w:rsid w:val="00B473C0"/>
    <w:rsid w:val="00B50886"/>
    <w:rsid w:val="00B50975"/>
    <w:rsid w:val="00B50AD7"/>
    <w:rsid w:val="00B5141F"/>
    <w:rsid w:val="00B51C65"/>
    <w:rsid w:val="00B53150"/>
    <w:rsid w:val="00B53315"/>
    <w:rsid w:val="00B535C5"/>
    <w:rsid w:val="00B53E0B"/>
    <w:rsid w:val="00B54438"/>
    <w:rsid w:val="00B546D9"/>
    <w:rsid w:val="00B547AE"/>
    <w:rsid w:val="00B54E6C"/>
    <w:rsid w:val="00B54FC8"/>
    <w:rsid w:val="00B5520A"/>
    <w:rsid w:val="00B55CFF"/>
    <w:rsid w:val="00B55F1F"/>
    <w:rsid w:val="00B56A55"/>
    <w:rsid w:val="00B56ED8"/>
    <w:rsid w:val="00B57743"/>
    <w:rsid w:val="00B57852"/>
    <w:rsid w:val="00B57930"/>
    <w:rsid w:val="00B57F8F"/>
    <w:rsid w:val="00B60C9E"/>
    <w:rsid w:val="00B61089"/>
    <w:rsid w:val="00B6178A"/>
    <w:rsid w:val="00B61856"/>
    <w:rsid w:val="00B61C15"/>
    <w:rsid w:val="00B6288A"/>
    <w:rsid w:val="00B62A73"/>
    <w:rsid w:val="00B62C25"/>
    <w:rsid w:val="00B649F5"/>
    <w:rsid w:val="00B65977"/>
    <w:rsid w:val="00B667CE"/>
    <w:rsid w:val="00B67552"/>
    <w:rsid w:val="00B67B62"/>
    <w:rsid w:val="00B67D97"/>
    <w:rsid w:val="00B700CE"/>
    <w:rsid w:val="00B700E4"/>
    <w:rsid w:val="00B70724"/>
    <w:rsid w:val="00B709B7"/>
    <w:rsid w:val="00B709F6"/>
    <w:rsid w:val="00B70A51"/>
    <w:rsid w:val="00B70CC5"/>
    <w:rsid w:val="00B70D37"/>
    <w:rsid w:val="00B70EE8"/>
    <w:rsid w:val="00B70F77"/>
    <w:rsid w:val="00B72013"/>
    <w:rsid w:val="00B72231"/>
    <w:rsid w:val="00B7247F"/>
    <w:rsid w:val="00B731EC"/>
    <w:rsid w:val="00B736D3"/>
    <w:rsid w:val="00B7370E"/>
    <w:rsid w:val="00B74003"/>
    <w:rsid w:val="00B74910"/>
    <w:rsid w:val="00B74B7C"/>
    <w:rsid w:val="00B74BF1"/>
    <w:rsid w:val="00B74EF9"/>
    <w:rsid w:val="00B74F00"/>
    <w:rsid w:val="00B76A2E"/>
    <w:rsid w:val="00B776BD"/>
    <w:rsid w:val="00B80245"/>
    <w:rsid w:val="00B807A9"/>
    <w:rsid w:val="00B80D80"/>
    <w:rsid w:val="00B80D9E"/>
    <w:rsid w:val="00B81EAC"/>
    <w:rsid w:val="00B82EE1"/>
    <w:rsid w:val="00B83015"/>
    <w:rsid w:val="00B83412"/>
    <w:rsid w:val="00B84191"/>
    <w:rsid w:val="00B84280"/>
    <w:rsid w:val="00B84D38"/>
    <w:rsid w:val="00B84F90"/>
    <w:rsid w:val="00B8528B"/>
    <w:rsid w:val="00B85A6F"/>
    <w:rsid w:val="00B85CA0"/>
    <w:rsid w:val="00B85D53"/>
    <w:rsid w:val="00B864D8"/>
    <w:rsid w:val="00B867FC"/>
    <w:rsid w:val="00B86B57"/>
    <w:rsid w:val="00B87940"/>
    <w:rsid w:val="00B87ADD"/>
    <w:rsid w:val="00B87B5E"/>
    <w:rsid w:val="00B9048E"/>
    <w:rsid w:val="00B9101D"/>
    <w:rsid w:val="00B9119E"/>
    <w:rsid w:val="00B926AA"/>
    <w:rsid w:val="00B92B38"/>
    <w:rsid w:val="00B95837"/>
    <w:rsid w:val="00B9663F"/>
    <w:rsid w:val="00BA0B6D"/>
    <w:rsid w:val="00BA110A"/>
    <w:rsid w:val="00BA1EA3"/>
    <w:rsid w:val="00BA2131"/>
    <w:rsid w:val="00BA2836"/>
    <w:rsid w:val="00BA2848"/>
    <w:rsid w:val="00BA2F16"/>
    <w:rsid w:val="00BA3759"/>
    <w:rsid w:val="00BA3A03"/>
    <w:rsid w:val="00BA440B"/>
    <w:rsid w:val="00BA4AD6"/>
    <w:rsid w:val="00BA4BF2"/>
    <w:rsid w:val="00BA4CE9"/>
    <w:rsid w:val="00BA7535"/>
    <w:rsid w:val="00BA75FD"/>
    <w:rsid w:val="00BA7E77"/>
    <w:rsid w:val="00BB100B"/>
    <w:rsid w:val="00BB18D1"/>
    <w:rsid w:val="00BB2291"/>
    <w:rsid w:val="00BB36B7"/>
    <w:rsid w:val="00BB3C9A"/>
    <w:rsid w:val="00BB4DC4"/>
    <w:rsid w:val="00BB58B0"/>
    <w:rsid w:val="00BB6A08"/>
    <w:rsid w:val="00BB6B8A"/>
    <w:rsid w:val="00BB6D7F"/>
    <w:rsid w:val="00BB779D"/>
    <w:rsid w:val="00BC0325"/>
    <w:rsid w:val="00BC109B"/>
    <w:rsid w:val="00BC113C"/>
    <w:rsid w:val="00BC2AEC"/>
    <w:rsid w:val="00BC3F15"/>
    <w:rsid w:val="00BC4210"/>
    <w:rsid w:val="00BC466F"/>
    <w:rsid w:val="00BC48E1"/>
    <w:rsid w:val="00BC540B"/>
    <w:rsid w:val="00BC556D"/>
    <w:rsid w:val="00BC6428"/>
    <w:rsid w:val="00BC6529"/>
    <w:rsid w:val="00BC6C12"/>
    <w:rsid w:val="00BC6C7A"/>
    <w:rsid w:val="00BC6CE8"/>
    <w:rsid w:val="00BC79FF"/>
    <w:rsid w:val="00BD00F3"/>
    <w:rsid w:val="00BD0FC4"/>
    <w:rsid w:val="00BD1208"/>
    <w:rsid w:val="00BD16B9"/>
    <w:rsid w:val="00BD214E"/>
    <w:rsid w:val="00BD3A07"/>
    <w:rsid w:val="00BD3F81"/>
    <w:rsid w:val="00BD3FE4"/>
    <w:rsid w:val="00BD4859"/>
    <w:rsid w:val="00BD4879"/>
    <w:rsid w:val="00BD50B9"/>
    <w:rsid w:val="00BD6772"/>
    <w:rsid w:val="00BD686D"/>
    <w:rsid w:val="00BD6D53"/>
    <w:rsid w:val="00BD6E71"/>
    <w:rsid w:val="00BD71A9"/>
    <w:rsid w:val="00BD7B79"/>
    <w:rsid w:val="00BD7C82"/>
    <w:rsid w:val="00BD7E3E"/>
    <w:rsid w:val="00BD7F6F"/>
    <w:rsid w:val="00BE28FA"/>
    <w:rsid w:val="00BE35EC"/>
    <w:rsid w:val="00BE3B23"/>
    <w:rsid w:val="00BE49FD"/>
    <w:rsid w:val="00BE5031"/>
    <w:rsid w:val="00BE5732"/>
    <w:rsid w:val="00BE584E"/>
    <w:rsid w:val="00BE5C88"/>
    <w:rsid w:val="00BE6001"/>
    <w:rsid w:val="00BE602B"/>
    <w:rsid w:val="00BE755B"/>
    <w:rsid w:val="00BE7A20"/>
    <w:rsid w:val="00BF00B1"/>
    <w:rsid w:val="00BF1482"/>
    <w:rsid w:val="00BF173F"/>
    <w:rsid w:val="00BF1E0D"/>
    <w:rsid w:val="00BF1F51"/>
    <w:rsid w:val="00BF1FE6"/>
    <w:rsid w:val="00BF21D4"/>
    <w:rsid w:val="00BF2833"/>
    <w:rsid w:val="00BF4381"/>
    <w:rsid w:val="00BF557C"/>
    <w:rsid w:val="00BF5F34"/>
    <w:rsid w:val="00BF5FAA"/>
    <w:rsid w:val="00BF6646"/>
    <w:rsid w:val="00BF7306"/>
    <w:rsid w:val="00BF77C2"/>
    <w:rsid w:val="00BF7E9B"/>
    <w:rsid w:val="00C015C7"/>
    <w:rsid w:val="00C02AE1"/>
    <w:rsid w:val="00C050F7"/>
    <w:rsid w:val="00C05ADA"/>
    <w:rsid w:val="00C1000F"/>
    <w:rsid w:val="00C1020B"/>
    <w:rsid w:val="00C1144B"/>
    <w:rsid w:val="00C11EAD"/>
    <w:rsid w:val="00C12118"/>
    <w:rsid w:val="00C12573"/>
    <w:rsid w:val="00C1286A"/>
    <w:rsid w:val="00C14816"/>
    <w:rsid w:val="00C14D8C"/>
    <w:rsid w:val="00C14EF2"/>
    <w:rsid w:val="00C15371"/>
    <w:rsid w:val="00C168AF"/>
    <w:rsid w:val="00C168B8"/>
    <w:rsid w:val="00C1788B"/>
    <w:rsid w:val="00C20052"/>
    <w:rsid w:val="00C203A3"/>
    <w:rsid w:val="00C2047C"/>
    <w:rsid w:val="00C2117D"/>
    <w:rsid w:val="00C211F1"/>
    <w:rsid w:val="00C214C0"/>
    <w:rsid w:val="00C22242"/>
    <w:rsid w:val="00C22F81"/>
    <w:rsid w:val="00C2375D"/>
    <w:rsid w:val="00C23A22"/>
    <w:rsid w:val="00C24262"/>
    <w:rsid w:val="00C24DFC"/>
    <w:rsid w:val="00C25685"/>
    <w:rsid w:val="00C27643"/>
    <w:rsid w:val="00C2783D"/>
    <w:rsid w:val="00C278BE"/>
    <w:rsid w:val="00C27A06"/>
    <w:rsid w:val="00C27F09"/>
    <w:rsid w:val="00C303C6"/>
    <w:rsid w:val="00C305C8"/>
    <w:rsid w:val="00C30881"/>
    <w:rsid w:val="00C30890"/>
    <w:rsid w:val="00C30A35"/>
    <w:rsid w:val="00C30B42"/>
    <w:rsid w:val="00C30D70"/>
    <w:rsid w:val="00C31E13"/>
    <w:rsid w:val="00C320FC"/>
    <w:rsid w:val="00C32140"/>
    <w:rsid w:val="00C32318"/>
    <w:rsid w:val="00C32369"/>
    <w:rsid w:val="00C328E6"/>
    <w:rsid w:val="00C333E8"/>
    <w:rsid w:val="00C33B13"/>
    <w:rsid w:val="00C34DFE"/>
    <w:rsid w:val="00C34EF7"/>
    <w:rsid w:val="00C356F3"/>
    <w:rsid w:val="00C35F3D"/>
    <w:rsid w:val="00C362AF"/>
    <w:rsid w:val="00C3649A"/>
    <w:rsid w:val="00C37480"/>
    <w:rsid w:val="00C378AB"/>
    <w:rsid w:val="00C404D2"/>
    <w:rsid w:val="00C412D9"/>
    <w:rsid w:val="00C420CB"/>
    <w:rsid w:val="00C4225C"/>
    <w:rsid w:val="00C42449"/>
    <w:rsid w:val="00C433BF"/>
    <w:rsid w:val="00C43D10"/>
    <w:rsid w:val="00C44BE2"/>
    <w:rsid w:val="00C45EC7"/>
    <w:rsid w:val="00C4656D"/>
    <w:rsid w:val="00C46630"/>
    <w:rsid w:val="00C47151"/>
    <w:rsid w:val="00C47525"/>
    <w:rsid w:val="00C5071F"/>
    <w:rsid w:val="00C50899"/>
    <w:rsid w:val="00C51AE7"/>
    <w:rsid w:val="00C5254F"/>
    <w:rsid w:val="00C53080"/>
    <w:rsid w:val="00C53ECE"/>
    <w:rsid w:val="00C54997"/>
    <w:rsid w:val="00C56015"/>
    <w:rsid w:val="00C5605D"/>
    <w:rsid w:val="00C56122"/>
    <w:rsid w:val="00C56274"/>
    <w:rsid w:val="00C56B6F"/>
    <w:rsid w:val="00C57614"/>
    <w:rsid w:val="00C6079F"/>
    <w:rsid w:val="00C60A67"/>
    <w:rsid w:val="00C60B06"/>
    <w:rsid w:val="00C60B1A"/>
    <w:rsid w:val="00C60B7C"/>
    <w:rsid w:val="00C60CE9"/>
    <w:rsid w:val="00C61788"/>
    <w:rsid w:val="00C617B9"/>
    <w:rsid w:val="00C6250C"/>
    <w:rsid w:val="00C629E2"/>
    <w:rsid w:val="00C63545"/>
    <w:rsid w:val="00C636C7"/>
    <w:rsid w:val="00C6383F"/>
    <w:rsid w:val="00C6475C"/>
    <w:rsid w:val="00C65013"/>
    <w:rsid w:val="00C650E7"/>
    <w:rsid w:val="00C652D6"/>
    <w:rsid w:val="00C6530B"/>
    <w:rsid w:val="00C65D0B"/>
    <w:rsid w:val="00C6674F"/>
    <w:rsid w:val="00C675F3"/>
    <w:rsid w:val="00C70428"/>
    <w:rsid w:val="00C71055"/>
    <w:rsid w:val="00C71162"/>
    <w:rsid w:val="00C711D0"/>
    <w:rsid w:val="00C7145F"/>
    <w:rsid w:val="00C714A6"/>
    <w:rsid w:val="00C72751"/>
    <w:rsid w:val="00C73724"/>
    <w:rsid w:val="00C74280"/>
    <w:rsid w:val="00C74449"/>
    <w:rsid w:val="00C74853"/>
    <w:rsid w:val="00C74AB3"/>
    <w:rsid w:val="00C74E9D"/>
    <w:rsid w:val="00C75094"/>
    <w:rsid w:val="00C75FA3"/>
    <w:rsid w:val="00C76046"/>
    <w:rsid w:val="00C7696F"/>
    <w:rsid w:val="00C76DE5"/>
    <w:rsid w:val="00C776C0"/>
    <w:rsid w:val="00C776E9"/>
    <w:rsid w:val="00C7790E"/>
    <w:rsid w:val="00C80170"/>
    <w:rsid w:val="00C80896"/>
    <w:rsid w:val="00C817E5"/>
    <w:rsid w:val="00C8187F"/>
    <w:rsid w:val="00C8205F"/>
    <w:rsid w:val="00C823CF"/>
    <w:rsid w:val="00C8266A"/>
    <w:rsid w:val="00C82C4E"/>
    <w:rsid w:val="00C83570"/>
    <w:rsid w:val="00C83BAD"/>
    <w:rsid w:val="00C83EAC"/>
    <w:rsid w:val="00C8515A"/>
    <w:rsid w:val="00C85A5A"/>
    <w:rsid w:val="00C85BB5"/>
    <w:rsid w:val="00C85E01"/>
    <w:rsid w:val="00C860CE"/>
    <w:rsid w:val="00C865D2"/>
    <w:rsid w:val="00C868A3"/>
    <w:rsid w:val="00C87020"/>
    <w:rsid w:val="00C87674"/>
    <w:rsid w:val="00C87D65"/>
    <w:rsid w:val="00C907EA"/>
    <w:rsid w:val="00C90ED9"/>
    <w:rsid w:val="00C911BA"/>
    <w:rsid w:val="00C914E6"/>
    <w:rsid w:val="00C91582"/>
    <w:rsid w:val="00C91B93"/>
    <w:rsid w:val="00C92408"/>
    <w:rsid w:val="00C92DEB"/>
    <w:rsid w:val="00C9342E"/>
    <w:rsid w:val="00C938AA"/>
    <w:rsid w:val="00C949D5"/>
    <w:rsid w:val="00C9522B"/>
    <w:rsid w:val="00C95825"/>
    <w:rsid w:val="00C960D3"/>
    <w:rsid w:val="00C969CA"/>
    <w:rsid w:val="00C97962"/>
    <w:rsid w:val="00C97D03"/>
    <w:rsid w:val="00CA0566"/>
    <w:rsid w:val="00CA104A"/>
    <w:rsid w:val="00CA1A68"/>
    <w:rsid w:val="00CA1E0D"/>
    <w:rsid w:val="00CA21ED"/>
    <w:rsid w:val="00CA22F8"/>
    <w:rsid w:val="00CA31B5"/>
    <w:rsid w:val="00CA3759"/>
    <w:rsid w:val="00CA38CB"/>
    <w:rsid w:val="00CA4C79"/>
    <w:rsid w:val="00CA5479"/>
    <w:rsid w:val="00CA57A3"/>
    <w:rsid w:val="00CA59EC"/>
    <w:rsid w:val="00CA62A4"/>
    <w:rsid w:val="00CA63F7"/>
    <w:rsid w:val="00CA755F"/>
    <w:rsid w:val="00CA765F"/>
    <w:rsid w:val="00CA784D"/>
    <w:rsid w:val="00CA7F14"/>
    <w:rsid w:val="00CA7F5F"/>
    <w:rsid w:val="00CB02D4"/>
    <w:rsid w:val="00CB03F7"/>
    <w:rsid w:val="00CB1FA0"/>
    <w:rsid w:val="00CB4817"/>
    <w:rsid w:val="00CB4D7A"/>
    <w:rsid w:val="00CB4FF7"/>
    <w:rsid w:val="00CB5E11"/>
    <w:rsid w:val="00CB6C4C"/>
    <w:rsid w:val="00CB7088"/>
    <w:rsid w:val="00CB70ED"/>
    <w:rsid w:val="00CB7457"/>
    <w:rsid w:val="00CB7664"/>
    <w:rsid w:val="00CC0148"/>
    <w:rsid w:val="00CC0E80"/>
    <w:rsid w:val="00CC1540"/>
    <w:rsid w:val="00CC2129"/>
    <w:rsid w:val="00CC2323"/>
    <w:rsid w:val="00CC3F6C"/>
    <w:rsid w:val="00CC411C"/>
    <w:rsid w:val="00CC4293"/>
    <w:rsid w:val="00CC521B"/>
    <w:rsid w:val="00CC57D8"/>
    <w:rsid w:val="00CC6C1E"/>
    <w:rsid w:val="00CC711D"/>
    <w:rsid w:val="00CC7308"/>
    <w:rsid w:val="00CC78F7"/>
    <w:rsid w:val="00CC79EC"/>
    <w:rsid w:val="00CD02C6"/>
    <w:rsid w:val="00CD18D7"/>
    <w:rsid w:val="00CD1FE2"/>
    <w:rsid w:val="00CD2F36"/>
    <w:rsid w:val="00CD30D2"/>
    <w:rsid w:val="00CD3280"/>
    <w:rsid w:val="00CD38E8"/>
    <w:rsid w:val="00CD42A4"/>
    <w:rsid w:val="00CD4A6E"/>
    <w:rsid w:val="00CD4C8D"/>
    <w:rsid w:val="00CD4E9E"/>
    <w:rsid w:val="00CD534D"/>
    <w:rsid w:val="00CD5700"/>
    <w:rsid w:val="00CD7777"/>
    <w:rsid w:val="00CE05ED"/>
    <w:rsid w:val="00CE12C2"/>
    <w:rsid w:val="00CE154F"/>
    <w:rsid w:val="00CE17E8"/>
    <w:rsid w:val="00CE2669"/>
    <w:rsid w:val="00CE37BA"/>
    <w:rsid w:val="00CE5663"/>
    <w:rsid w:val="00CE7263"/>
    <w:rsid w:val="00CE7302"/>
    <w:rsid w:val="00CE7386"/>
    <w:rsid w:val="00CE74EF"/>
    <w:rsid w:val="00CE76EE"/>
    <w:rsid w:val="00CF0EB5"/>
    <w:rsid w:val="00CF1088"/>
    <w:rsid w:val="00CF15BD"/>
    <w:rsid w:val="00CF1DD2"/>
    <w:rsid w:val="00CF2F3A"/>
    <w:rsid w:val="00CF32FA"/>
    <w:rsid w:val="00CF39E1"/>
    <w:rsid w:val="00CF3A12"/>
    <w:rsid w:val="00CF3D5F"/>
    <w:rsid w:val="00CF416B"/>
    <w:rsid w:val="00CF4812"/>
    <w:rsid w:val="00CF4A8C"/>
    <w:rsid w:val="00CF52C6"/>
    <w:rsid w:val="00CF6CDE"/>
    <w:rsid w:val="00CF71C5"/>
    <w:rsid w:val="00CF78A1"/>
    <w:rsid w:val="00CF7DFA"/>
    <w:rsid w:val="00D00106"/>
    <w:rsid w:val="00D00415"/>
    <w:rsid w:val="00D006A0"/>
    <w:rsid w:val="00D00C80"/>
    <w:rsid w:val="00D0177C"/>
    <w:rsid w:val="00D02618"/>
    <w:rsid w:val="00D036DA"/>
    <w:rsid w:val="00D0520B"/>
    <w:rsid w:val="00D05C68"/>
    <w:rsid w:val="00D063AB"/>
    <w:rsid w:val="00D069B1"/>
    <w:rsid w:val="00D0734A"/>
    <w:rsid w:val="00D103CF"/>
    <w:rsid w:val="00D10F7D"/>
    <w:rsid w:val="00D116CF"/>
    <w:rsid w:val="00D11D8E"/>
    <w:rsid w:val="00D11E4F"/>
    <w:rsid w:val="00D12240"/>
    <w:rsid w:val="00D1253B"/>
    <w:rsid w:val="00D13823"/>
    <w:rsid w:val="00D14955"/>
    <w:rsid w:val="00D14D1C"/>
    <w:rsid w:val="00D15360"/>
    <w:rsid w:val="00D15D85"/>
    <w:rsid w:val="00D16547"/>
    <w:rsid w:val="00D16F89"/>
    <w:rsid w:val="00D17700"/>
    <w:rsid w:val="00D20004"/>
    <w:rsid w:val="00D20A77"/>
    <w:rsid w:val="00D21F5B"/>
    <w:rsid w:val="00D23E6F"/>
    <w:rsid w:val="00D24F18"/>
    <w:rsid w:val="00D25571"/>
    <w:rsid w:val="00D25771"/>
    <w:rsid w:val="00D257C7"/>
    <w:rsid w:val="00D26C08"/>
    <w:rsid w:val="00D2764A"/>
    <w:rsid w:val="00D27BE8"/>
    <w:rsid w:val="00D27DD9"/>
    <w:rsid w:val="00D30668"/>
    <w:rsid w:val="00D30A2B"/>
    <w:rsid w:val="00D30C9A"/>
    <w:rsid w:val="00D31D89"/>
    <w:rsid w:val="00D32140"/>
    <w:rsid w:val="00D323DB"/>
    <w:rsid w:val="00D32862"/>
    <w:rsid w:val="00D329DB"/>
    <w:rsid w:val="00D3429A"/>
    <w:rsid w:val="00D3570B"/>
    <w:rsid w:val="00D360A1"/>
    <w:rsid w:val="00D36BEA"/>
    <w:rsid w:val="00D371B8"/>
    <w:rsid w:val="00D40199"/>
    <w:rsid w:val="00D401C0"/>
    <w:rsid w:val="00D413ED"/>
    <w:rsid w:val="00D429AB"/>
    <w:rsid w:val="00D43887"/>
    <w:rsid w:val="00D442B4"/>
    <w:rsid w:val="00D4442E"/>
    <w:rsid w:val="00D4526F"/>
    <w:rsid w:val="00D45B27"/>
    <w:rsid w:val="00D46247"/>
    <w:rsid w:val="00D465F3"/>
    <w:rsid w:val="00D46E90"/>
    <w:rsid w:val="00D47310"/>
    <w:rsid w:val="00D47402"/>
    <w:rsid w:val="00D5015F"/>
    <w:rsid w:val="00D50A18"/>
    <w:rsid w:val="00D519E1"/>
    <w:rsid w:val="00D51E15"/>
    <w:rsid w:val="00D5264A"/>
    <w:rsid w:val="00D526E8"/>
    <w:rsid w:val="00D533DB"/>
    <w:rsid w:val="00D541D4"/>
    <w:rsid w:val="00D55374"/>
    <w:rsid w:val="00D555B8"/>
    <w:rsid w:val="00D555DA"/>
    <w:rsid w:val="00D5788E"/>
    <w:rsid w:val="00D57CA0"/>
    <w:rsid w:val="00D57F94"/>
    <w:rsid w:val="00D61582"/>
    <w:rsid w:val="00D62782"/>
    <w:rsid w:val="00D63212"/>
    <w:rsid w:val="00D63C9E"/>
    <w:rsid w:val="00D63EF0"/>
    <w:rsid w:val="00D6518C"/>
    <w:rsid w:val="00D65316"/>
    <w:rsid w:val="00D65B90"/>
    <w:rsid w:val="00D65C81"/>
    <w:rsid w:val="00D65F60"/>
    <w:rsid w:val="00D661BE"/>
    <w:rsid w:val="00D6690E"/>
    <w:rsid w:val="00D66A7F"/>
    <w:rsid w:val="00D66B3E"/>
    <w:rsid w:val="00D66CA3"/>
    <w:rsid w:val="00D66F56"/>
    <w:rsid w:val="00D706DA"/>
    <w:rsid w:val="00D713BF"/>
    <w:rsid w:val="00D71CBF"/>
    <w:rsid w:val="00D71ECC"/>
    <w:rsid w:val="00D71FA0"/>
    <w:rsid w:val="00D7268B"/>
    <w:rsid w:val="00D746C1"/>
    <w:rsid w:val="00D74A63"/>
    <w:rsid w:val="00D75B9E"/>
    <w:rsid w:val="00D77192"/>
    <w:rsid w:val="00D77E10"/>
    <w:rsid w:val="00D8068B"/>
    <w:rsid w:val="00D808D2"/>
    <w:rsid w:val="00D80C66"/>
    <w:rsid w:val="00D81881"/>
    <w:rsid w:val="00D81CB7"/>
    <w:rsid w:val="00D81D42"/>
    <w:rsid w:val="00D81ED4"/>
    <w:rsid w:val="00D81F4D"/>
    <w:rsid w:val="00D82C69"/>
    <w:rsid w:val="00D8319F"/>
    <w:rsid w:val="00D83511"/>
    <w:rsid w:val="00D83695"/>
    <w:rsid w:val="00D848BF"/>
    <w:rsid w:val="00D84DD8"/>
    <w:rsid w:val="00D854AE"/>
    <w:rsid w:val="00D8551F"/>
    <w:rsid w:val="00D860E0"/>
    <w:rsid w:val="00D8707B"/>
    <w:rsid w:val="00D8754A"/>
    <w:rsid w:val="00D878A6"/>
    <w:rsid w:val="00D87A9A"/>
    <w:rsid w:val="00D907DC"/>
    <w:rsid w:val="00D91120"/>
    <w:rsid w:val="00D9162F"/>
    <w:rsid w:val="00D91645"/>
    <w:rsid w:val="00D931B1"/>
    <w:rsid w:val="00D9427C"/>
    <w:rsid w:val="00D943E3"/>
    <w:rsid w:val="00D94CD3"/>
    <w:rsid w:val="00D94CD4"/>
    <w:rsid w:val="00D9553F"/>
    <w:rsid w:val="00D9556A"/>
    <w:rsid w:val="00D96378"/>
    <w:rsid w:val="00D96888"/>
    <w:rsid w:val="00D97EA6"/>
    <w:rsid w:val="00DA096B"/>
    <w:rsid w:val="00DA19D5"/>
    <w:rsid w:val="00DA1B98"/>
    <w:rsid w:val="00DA23C5"/>
    <w:rsid w:val="00DA2462"/>
    <w:rsid w:val="00DA272B"/>
    <w:rsid w:val="00DA2DBA"/>
    <w:rsid w:val="00DA3D87"/>
    <w:rsid w:val="00DA3E5F"/>
    <w:rsid w:val="00DA4468"/>
    <w:rsid w:val="00DA451C"/>
    <w:rsid w:val="00DA4722"/>
    <w:rsid w:val="00DA475A"/>
    <w:rsid w:val="00DA5001"/>
    <w:rsid w:val="00DA5405"/>
    <w:rsid w:val="00DA5B9B"/>
    <w:rsid w:val="00DA5C1F"/>
    <w:rsid w:val="00DA5FDD"/>
    <w:rsid w:val="00DA6399"/>
    <w:rsid w:val="00DA7A70"/>
    <w:rsid w:val="00DB022E"/>
    <w:rsid w:val="00DB0324"/>
    <w:rsid w:val="00DB047B"/>
    <w:rsid w:val="00DB0750"/>
    <w:rsid w:val="00DB130C"/>
    <w:rsid w:val="00DB14A1"/>
    <w:rsid w:val="00DB1D9A"/>
    <w:rsid w:val="00DB1E11"/>
    <w:rsid w:val="00DB3D0E"/>
    <w:rsid w:val="00DB4BF0"/>
    <w:rsid w:val="00DB4F94"/>
    <w:rsid w:val="00DB603F"/>
    <w:rsid w:val="00DB6450"/>
    <w:rsid w:val="00DB6ACA"/>
    <w:rsid w:val="00DB7725"/>
    <w:rsid w:val="00DC0445"/>
    <w:rsid w:val="00DC06D4"/>
    <w:rsid w:val="00DC0986"/>
    <w:rsid w:val="00DC0C1A"/>
    <w:rsid w:val="00DC1305"/>
    <w:rsid w:val="00DC1721"/>
    <w:rsid w:val="00DC1C00"/>
    <w:rsid w:val="00DC27A8"/>
    <w:rsid w:val="00DC3297"/>
    <w:rsid w:val="00DC39A5"/>
    <w:rsid w:val="00DC4DE1"/>
    <w:rsid w:val="00DC5D09"/>
    <w:rsid w:val="00DC6325"/>
    <w:rsid w:val="00DC746A"/>
    <w:rsid w:val="00DC77B2"/>
    <w:rsid w:val="00DC7CE3"/>
    <w:rsid w:val="00DC7E8E"/>
    <w:rsid w:val="00DC7FD8"/>
    <w:rsid w:val="00DD0728"/>
    <w:rsid w:val="00DD1333"/>
    <w:rsid w:val="00DD13E7"/>
    <w:rsid w:val="00DD194B"/>
    <w:rsid w:val="00DD1B82"/>
    <w:rsid w:val="00DD2FF2"/>
    <w:rsid w:val="00DD3550"/>
    <w:rsid w:val="00DD37EF"/>
    <w:rsid w:val="00DD3E27"/>
    <w:rsid w:val="00DD434D"/>
    <w:rsid w:val="00DD544B"/>
    <w:rsid w:val="00DD5CA3"/>
    <w:rsid w:val="00DD6260"/>
    <w:rsid w:val="00DD7613"/>
    <w:rsid w:val="00DE0326"/>
    <w:rsid w:val="00DE10B0"/>
    <w:rsid w:val="00DE11E0"/>
    <w:rsid w:val="00DE1CB6"/>
    <w:rsid w:val="00DE25E5"/>
    <w:rsid w:val="00DE35AC"/>
    <w:rsid w:val="00DE3D9B"/>
    <w:rsid w:val="00DE5740"/>
    <w:rsid w:val="00DE5C86"/>
    <w:rsid w:val="00DE61EF"/>
    <w:rsid w:val="00DE77F7"/>
    <w:rsid w:val="00DF0754"/>
    <w:rsid w:val="00DF12EB"/>
    <w:rsid w:val="00DF21A6"/>
    <w:rsid w:val="00DF3181"/>
    <w:rsid w:val="00DF324F"/>
    <w:rsid w:val="00DF3456"/>
    <w:rsid w:val="00DF3C92"/>
    <w:rsid w:val="00DF3F08"/>
    <w:rsid w:val="00DF3FF3"/>
    <w:rsid w:val="00DF40B0"/>
    <w:rsid w:val="00DF42A3"/>
    <w:rsid w:val="00DF5402"/>
    <w:rsid w:val="00DF58C7"/>
    <w:rsid w:val="00DF5CF0"/>
    <w:rsid w:val="00DF6525"/>
    <w:rsid w:val="00DF6F30"/>
    <w:rsid w:val="00DF75ED"/>
    <w:rsid w:val="00DF7732"/>
    <w:rsid w:val="00DF7DBE"/>
    <w:rsid w:val="00E0050B"/>
    <w:rsid w:val="00E0156D"/>
    <w:rsid w:val="00E022A1"/>
    <w:rsid w:val="00E02349"/>
    <w:rsid w:val="00E02BB8"/>
    <w:rsid w:val="00E02D65"/>
    <w:rsid w:val="00E0309F"/>
    <w:rsid w:val="00E035F8"/>
    <w:rsid w:val="00E03CC7"/>
    <w:rsid w:val="00E043CC"/>
    <w:rsid w:val="00E0477A"/>
    <w:rsid w:val="00E04862"/>
    <w:rsid w:val="00E04D82"/>
    <w:rsid w:val="00E055B4"/>
    <w:rsid w:val="00E059B8"/>
    <w:rsid w:val="00E05A79"/>
    <w:rsid w:val="00E05FBD"/>
    <w:rsid w:val="00E06739"/>
    <w:rsid w:val="00E06E57"/>
    <w:rsid w:val="00E0752E"/>
    <w:rsid w:val="00E07794"/>
    <w:rsid w:val="00E104D4"/>
    <w:rsid w:val="00E1058F"/>
    <w:rsid w:val="00E10717"/>
    <w:rsid w:val="00E118FD"/>
    <w:rsid w:val="00E12806"/>
    <w:rsid w:val="00E136A1"/>
    <w:rsid w:val="00E136F3"/>
    <w:rsid w:val="00E139C9"/>
    <w:rsid w:val="00E13C2E"/>
    <w:rsid w:val="00E14617"/>
    <w:rsid w:val="00E14EDF"/>
    <w:rsid w:val="00E1539B"/>
    <w:rsid w:val="00E1570B"/>
    <w:rsid w:val="00E16479"/>
    <w:rsid w:val="00E16D88"/>
    <w:rsid w:val="00E16F6D"/>
    <w:rsid w:val="00E178C4"/>
    <w:rsid w:val="00E17B8D"/>
    <w:rsid w:val="00E21BDF"/>
    <w:rsid w:val="00E22669"/>
    <w:rsid w:val="00E23A6E"/>
    <w:rsid w:val="00E24A48"/>
    <w:rsid w:val="00E25101"/>
    <w:rsid w:val="00E254A5"/>
    <w:rsid w:val="00E25519"/>
    <w:rsid w:val="00E258DB"/>
    <w:rsid w:val="00E26628"/>
    <w:rsid w:val="00E270BE"/>
    <w:rsid w:val="00E27107"/>
    <w:rsid w:val="00E279BB"/>
    <w:rsid w:val="00E30DDC"/>
    <w:rsid w:val="00E313BE"/>
    <w:rsid w:val="00E31739"/>
    <w:rsid w:val="00E31B52"/>
    <w:rsid w:val="00E325A3"/>
    <w:rsid w:val="00E3278B"/>
    <w:rsid w:val="00E327AE"/>
    <w:rsid w:val="00E32D35"/>
    <w:rsid w:val="00E35F3A"/>
    <w:rsid w:val="00E37526"/>
    <w:rsid w:val="00E376CE"/>
    <w:rsid w:val="00E37A92"/>
    <w:rsid w:val="00E37B29"/>
    <w:rsid w:val="00E40BB4"/>
    <w:rsid w:val="00E41272"/>
    <w:rsid w:val="00E41AD1"/>
    <w:rsid w:val="00E423D0"/>
    <w:rsid w:val="00E4314D"/>
    <w:rsid w:val="00E4439A"/>
    <w:rsid w:val="00E443CC"/>
    <w:rsid w:val="00E44F6D"/>
    <w:rsid w:val="00E44FC8"/>
    <w:rsid w:val="00E45828"/>
    <w:rsid w:val="00E45CD8"/>
    <w:rsid w:val="00E45D61"/>
    <w:rsid w:val="00E45DE3"/>
    <w:rsid w:val="00E45E55"/>
    <w:rsid w:val="00E45EFC"/>
    <w:rsid w:val="00E45F44"/>
    <w:rsid w:val="00E47F56"/>
    <w:rsid w:val="00E5074A"/>
    <w:rsid w:val="00E51C23"/>
    <w:rsid w:val="00E51E4D"/>
    <w:rsid w:val="00E522B8"/>
    <w:rsid w:val="00E533A4"/>
    <w:rsid w:val="00E5350B"/>
    <w:rsid w:val="00E5442F"/>
    <w:rsid w:val="00E545CD"/>
    <w:rsid w:val="00E54690"/>
    <w:rsid w:val="00E54796"/>
    <w:rsid w:val="00E54C9E"/>
    <w:rsid w:val="00E54D9D"/>
    <w:rsid w:val="00E55560"/>
    <w:rsid w:val="00E558E5"/>
    <w:rsid w:val="00E564D2"/>
    <w:rsid w:val="00E567D5"/>
    <w:rsid w:val="00E56A3E"/>
    <w:rsid w:val="00E56CE2"/>
    <w:rsid w:val="00E57DB8"/>
    <w:rsid w:val="00E606BB"/>
    <w:rsid w:val="00E60AC2"/>
    <w:rsid w:val="00E61097"/>
    <w:rsid w:val="00E61326"/>
    <w:rsid w:val="00E61B84"/>
    <w:rsid w:val="00E620F7"/>
    <w:rsid w:val="00E621CD"/>
    <w:rsid w:val="00E6243B"/>
    <w:rsid w:val="00E62B2B"/>
    <w:rsid w:val="00E6308A"/>
    <w:rsid w:val="00E644EB"/>
    <w:rsid w:val="00E64C06"/>
    <w:rsid w:val="00E656B6"/>
    <w:rsid w:val="00E657F5"/>
    <w:rsid w:val="00E65C69"/>
    <w:rsid w:val="00E6606E"/>
    <w:rsid w:val="00E660FD"/>
    <w:rsid w:val="00E66A4C"/>
    <w:rsid w:val="00E700EC"/>
    <w:rsid w:val="00E710E5"/>
    <w:rsid w:val="00E714F9"/>
    <w:rsid w:val="00E71BCE"/>
    <w:rsid w:val="00E73243"/>
    <w:rsid w:val="00E73442"/>
    <w:rsid w:val="00E73A21"/>
    <w:rsid w:val="00E74580"/>
    <w:rsid w:val="00E74776"/>
    <w:rsid w:val="00E74782"/>
    <w:rsid w:val="00E74802"/>
    <w:rsid w:val="00E751EE"/>
    <w:rsid w:val="00E75455"/>
    <w:rsid w:val="00E7551C"/>
    <w:rsid w:val="00E75DC1"/>
    <w:rsid w:val="00E75FAE"/>
    <w:rsid w:val="00E760E5"/>
    <w:rsid w:val="00E761E5"/>
    <w:rsid w:val="00E80114"/>
    <w:rsid w:val="00E80196"/>
    <w:rsid w:val="00E804AC"/>
    <w:rsid w:val="00E80E52"/>
    <w:rsid w:val="00E810B7"/>
    <w:rsid w:val="00E813FA"/>
    <w:rsid w:val="00E814ED"/>
    <w:rsid w:val="00E81BE3"/>
    <w:rsid w:val="00E82E15"/>
    <w:rsid w:val="00E82E42"/>
    <w:rsid w:val="00E83893"/>
    <w:rsid w:val="00E83926"/>
    <w:rsid w:val="00E83BC7"/>
    <w:rsid w:val="00E83FCB"/>
    <w:rsid w:val="00E8414F"/>
    <w:rsid w:val="00E84D8B"/>
    <w:rsid w:val="00E84D9A"/>
    <w:rsid w:val="00E85283"/>
    <w:rsid w:val="00E8532D"/>
    <w:rsid w:val="00E85880"/>
    <w:rsid w:val="00E86166"/>
    <w:rsid w:val="00E8673D"/>
    <w:rsid w:val="00E873DF"/>
    <w:rsid w:val="00E877C4"/>
    <w:rsid w:val="00E901C3"/>
    <w:rsid w:val="00E9035C"/>
    <w:rsid w:val="00E91034"/>
    <w:rsid w:val="00E91204"/>
    <w:rsid w:val="00E91BB7"/>
    <w:rsid w:val="00E92A74"/>
    <w:rsid w:val="00E92B2C"/>
    <w:rsid w:val="00E94085"/>
    <w:rsid w:val="00E9461C"/>
    <w:rsid w:val="00E946C7"/>
    <w:rsid w:val="00E95C41"/>
    <w:rsid w:val="00EA0C41"/>
    <w:rsid w:val="00EA1C7D"/>
    <w:rsid w:val="00EA2577"/>
    <w:rsid w:val="00EA367C"/>
    <w:rsid w:val="00EA3D9B"/>
    <w:rsid w:val="00EA3DD1"/>
    <w:rsid w:val="00EA3F7C"/>
    <w:rsid w:val="00EA56BC"/>
    <w:rsid w:val="00EA59A0"/>
    <w:rsid w:val="00EA60EC"/>
    <w:rsid w:val="00EA63A0"/>
    <w:rsid w:val="00EA66E3"/>
    <w:rsid w:val="00EA72EF"/>
    <w:rsid w:val="00EA757F"/>
    <w:rsid w:val="00EB00E2"/>
    <w:rsid w:val="00EB00FD"/>
    <w:rsid w:val="00EB02E3"/>
    <w:rsid w:val="00EB07C8"/>
    <w:rsid w:val="00EB0E8D"/>
    <w:rsid w:val="00EB1B3B"/>
    <w:rsid w:val="00EB25FA"/>
    <w:rsid w:val="00EB3A16"/>
    <w:rsid w:val="00EB3A60"/>
    <w:rsid w:val="00EB4C2C"/>
    <w:rsid w:val="00EB4EC7"/>
    <w:rsid w:val="00EB5321"/>
    <w:rsid w:val="00EB5CEB"/>
    <w:rsid w:val="00EB6296"/>
    <w:rsid w:val="00EB69E0"/>
    <w:rsid w:val="00EB6D6D"/>
    <w:rsid w:val="00EC0A2A"/>
    <w:rsid w:val="00EC20BA"/>
    <w:rsid w:val="00EC2E80"/>
    <w:rsid w:val="00EC3622"/>
    <w:rsid w:val="00EC3B67"/>
    <w:rsid w:val="00EC406B"/>
    <w:rsid w:val="00EC4789"/>
    <w:rsid w:val="00EC4E46"/>
    <w:rsid w:val="00EC5F19"/>
    <w:rsid w:val="00EC60ED"/>
    <w:rsid w:val="00EC66D9"/>
    <w:rsid w:val="00EC72E5"/>
    <w:rsid w:val="00EC7E06"/>
    <w:rsid w:val="00ED0C57"/>
    <w:rsid w:val="00ED0C75"/>
    <w:rsid w:val="00ED100A"/>
    <w:rsid w:val="00ED1D1C"/>
    <w:rsid w:val="00ED2480"/>
    <w:rsid w:val="00ED46A7"/>
    <w:rsid w:val="00ED47DB"/>
    <w:rsid w:val="00ED520D"/>
    <w:rsid w:val="00ED53AF"/>
    <w:rsid w:val="00ED595D"/>
    <w:rsid w:val="00ED5D7E"/>
    <w:rsid w:val="00ED697F"/>
    <w:rsid w:val="00ED7A46"/>
    <w:rsid w:val="00ED7FE9"/>
    <w:rsid w:val="00EE0011"/>
    <w:rsid w:val="00EE02EC"/>
    <w:rsid w:val="00EE081A"/>
    <w:rsid w:val="00EE1E96"/>
    <w:rsid w:val="00EE298C"/>
    <w:rsid w:val="00EE3FF0"/>
    <w:rsid w:val="00EE4C50"/>
    <w:rsid w:val="00EE50A8"/>
    <w:rsid w:val="00EE56ED"/>
    <w:rsid w:val="00EE5960"/>
    <w:rsid w:val="00EE67A0"/>
    <w:rsid w:val="00EE6A8D"/>
    <w:rsid w:val="00EE6B27"/>
    <w:rsid w:val="00EE7919"/>
    <w:rsid w:val="00EF08B5"/>
    <w:rsid w:val="00EF2767"/>
    <w:rsid w:val="00EF2E80"/>
    <w:rsid w:val="00EF34BD"/>
    <w:rsid w:val="00EF4101"/>
    <w:rsid w:val="00EF4542"/>
    <w:rsid w:val="00EF4A8F"/>
    <w:rsid w:val="00EF4F72"/>
    <w:rsid w:val="00EF55D7"/>
    <w:rsid w:val="00EF6658"/>
    <w:rsid w:val="00EF73D8"/>
    <w:rsid w:val="00EF7E93"/>
    <w:rsid w:val="00F00D8A"/>
    <w:rsid w:val="00F019CF"/>
    <w:rsid w:val="00F0318D"/>
    <w:rsid w:val="00F03925"/>
    <w:rsid w:val="00F04021"/>
    <w:rsid w:val="00F0423E"/>
    <w:rsid w:val="00F048C4"/>
    <w:rsid w:val="00F04A90"/>
    <w:rsid w:val="00F04C36"/>
    <w:rsid w:val="00F04D10"/>
    <w:rsid w:val="00F05362"/>
    <w:rsid w:val="00F058C4"/>
    <w:rsid w:val="00F05C74"/>
    <w:rsid w:val="00F05CFF"/>
    <w:rsid w:val="00F05F87"/>
    <w:rsid w:val="00F0636F"/>
    <w:rsid w:val="00F07BD5"/>
    <w:rsid w:val="00F07C47"/>
    <w:rsid w:val="00F10358"/>
    <w:rsid w:val="00F104A6"/>
    <w:rsid w:val="00F105BD"/>
    <w:rsid w:val="00F11020"/>
    <w:rsid w:val="00F11C12"/>
    <w:rsid w:val="00F124B0"/>
    <w:rsid w:val="00F126F5"/>
    <w:rsid w:val="00F12CEF"/>
    <w:rsid w:val="00F13088"/>
    <w:rsid w:val="00F135DA"/>
    <w:rsid w:val="00F13A55"/>
    <w:rsid w:val="00F13A58"/>
    <w:rsid w:val="00F13CE8"/>
    <w:rsid w:val="00F164DF"/>
    <w:rsid w:val="00F16C0F"/>
    <w:rsid w:val="00F17331"/>
    <w:rsid w:val="00F17D91"/>
    <w:rsid w:val="00F223C5"/>
    <w:rsid w:val="00F229BD"/>
    <w:rsid w:val="00F22D7A"/>
    <w:rsid w:val="00F2339A"/>
    <w:rsid w:val="00F2411F"/>
    <w:rsid w:val="00F25055"/>
    <w:rsid w:val="00F253F8"/>
    <w:rsid w:val="00F2648B"/>
    <w:rsid w:val="00F26957"/>
    <w:rsid w:val="00F26F4B"/>
    <w:rsid w:val="00F2703E"/>
    <w:rsid w:val="00F27831"/>
    <w:rsid w:val="00F27D98"/>
    <w:rsid w:val="00F30136"/>
    <w:rsid w:val="00F3064D"/>
    <w:rsid w:val="00F307DE"/>
    <w:rsid w:val="00F308DF"/>
    <w:rsid w:val="00F30B27"/>
    <w:rsid w:val="00F30C72"/>
    <w:rsid w:val="00F31017"/>
    <w:rsid w:val="00F31081"/>
    <w:rsid w:val="00F332C0"/>
    <w:rsid w:val="00F340D0"/>
    <w:rsid w:val="00F34549"/>
    <w:rsid w:val="00F353C7"/>
    <w:rsid w:val="00F368E3"/>
    <w:rsid w:val="00F36B38"/>
    <w:rsid w:val="00F372FD"/>
    <w:rsid w:val="00F40868"/>
    <w:rsid w:val="00F4141F"/>
    <w:rsid w:val="00F417E4"/>
    <w:rsid w:val="00F4314F"/>
    <w:rsid w:val="00F4333A"/>
    <w:rsid w:val="00F4342B"/>
    <w:rsid w:val="00F4425C"/>
    <w:rsid w:val="00F44DA1"/>
    <w:rsid w:val="00F44FFB"/>
    <w:rsid w:val="00F45D6B"/>
    <w:rsid w:val="00F47976"/>
    <w:rsid w:val="00F47CFA"/>
    <w:rsid w:val="00F47DD2"/>
    <w:rsid w:val="00F47FD6"/>
    <w:rsid w:val="00F5051F"/>
    <w:rsid w:val="00F5055E"/>
    <w:rsid w:val="00F50C27"/>
    <w:rsid w:val="00F50C53"/>
    <w:rsid w:val="00F50FCC"/>
    <w:rsid w:val="00F5126F"/>
    <w:rsid w:val="00F513CE"/>
    <w:rsid w:val="00F51421"/>
    <w:rsid w:val="00F518FB"/>
    <w:rsid w:val="00F51AEC"/>
    <w:rsid w:val="00F51DB9"/>
    <w:rsid w:val="00F51FE4"/>
    <w:rsid w:val="00F529CA"/>
    <w:rsid w:val="00F5363E"/>
    <w:rsid w:val="00F53AB9"/>
    <w:rsid w:val="00F54B8D"/>
    <w:rsid w:val="00F55431"/>
    <w:rsid w:val="00F55D81"/>
    <w:rsid w:val="00F561EA"/>
    <w:rsid w:val="00F56BD3"/>
    <w:rsid w:val="00F56E9B"/>
    <w:rsid w:val="00F57012"/>
    <w:rsid w:val="00F57818"/>
    <w:rsid w:val="00F6001E"/>
    <w:rsid w:val="00F60574"/>
    <w:rsid w:val="00F605C9"/>
    <w:rsid w:val="00F6128E"/>
    <w:rsid w:val="00F615F8"/>
    <w:rsid w:val="00F61664"/>
    <w:rsid w:val="00F636A6"/>
    <w:rsid w:val="00F636CC"/>
    <w:rsid w:val="00F63BF7"/>
    <w:rsid w:val="00F63C03"/>
    <w:rsid w:val="00F63D73"/>
    <w:rsid w:val="00F64065"/>
    <w:rsid w:val="00F640EC"/>
    <w:rsid w:val="00F65A75"/>
    <w:rsid w:val="00F65DEC"/>
    <w:rsid w:val="00F6640A"/>
    <w:rsid w:val="00F66796"/>
    <w:rsid w:val="00F6696D"/>
    <w:rsid w:val="00F66D5E"/>
    <w:rsid w:val="00F67CD0"/>
    <w:rsid w:val="00F70751"/>
    <w:rsid w:val="00F7236F"/>
    <w:rsid w:val="00F727D9"/>
    <w:rsid w:val="00F72B04"/>
    <w:rsid w:val="00F72B8D"/>
    <w:rsid w:val="00F739FB"/>
    <w:rsid w:val="00F74591"/>
    <w:rsid w:val="00F747F2"/>
    <w:rsid w:val="00F74B5B"/>
    <w:rsid w:val="00F74C07"/>
    <w:rsid w:val="00F74C54"/>
    <w:rsid w:val="00F74D24"/>
    <w:rsid w:val="00F757FA"/>
    <w:rsid w:val="00F75CEE"/>
    <w:rsid w:val="00F75FE0"/>
    <w:rsid w:val="00F765B2"/>
    <w:rsid w:val="00F76A17"/>
    <w:rsid w:val="00F76DE9"/>
    <w:rsid w:val="00F77261"/>
    <w:rsid w:val="00F77CD6"/>
    <w:rsid w:val="00F80BD3"/>
    <w:rsid w:val="00F81833"/>
    <w:rsid w:val="00F825B3"/>
    <w:rsid w:val="00F829F8"/>
    <w:rsid w:val="00F82B33"/>
    <w:rsid w:val="00F8328F"/>
    <w:rsid w:val="00F83372"/>
    <w:rsid w:val="00F8484C"/>
    <w:rsid w:val="00F8573F"/>
    <w:rsid w:val="00F85E9C"/>
    <w:rsid w:val="00F85EBE"/>
    <w:rsid w:val="00F86E1E"/>
    <w:rsid w:val="00F86F9D"/>
    <w:rsid w:val="00F87475"/>
    <w:rsid w:val="00F8783C"/>
    <w:rsid w:val="00F87BEF"/>
    <w:rsid w:val="00F903E7"/>
    <w:rsid w:val="00F9110F"/>
    <w:rsid w:val="00F92279"/>
    <w:rsid w:val="00F93BCC"/>
    <w:rsid w:val="00F93F59"/>
    <w:rsid w:val="00F94348"/>
    <w:rsid w:val="00F94901"/>
    <w:rsid w:val="00F94BC9"/>
    <w:rsid w:val="00F9533F"/>
    <w:rsid w:val="00F959FF"/>
    <w:rsid w:val="00F9651D"/>
    <w:rsid w:val="00F96A26"/>
    <w:rsid w:val="00F979DB"/>
    <w:rsid w:val="00FA09E3"/>
    <w:rsid w:val="00FA0CD1"/>
    <w:rsid w:val="00FA0D24"/>
    <w:rsid w:val="00FA11ED"/>
    <w:rsid w:val="00FA171C"/>
    <w:rsid w:val="00FA1874"/>
    <w:rsid w:val="00FA1D5C"/>
    <w:rsid w:val="00FA304C"/>
    <w:rsid w:val="00FA3853"/>
    <w:rsid w:val="00FA46DB"/>
    <w:rsid w:val="00FA4C3A"/>
    <w:rsid w:val="00FA4E0C"/>
    <w:rsid w:val="00FA599A"/>
    <w:rsid w:val="00FA5C19"/>
    <w:rsid w:val="00FA62DB"/>
    <w:rsid w:val="00FA737E"/>
    <w:rsid w:val="00FA7BAD"/>
    <w:rsid w:val="00FB0C6B"/>
    <w:rsid w:val="00FB0E6D"/>
    <w:rsid w:val="00FB1188"/>
    <w:rsid w:val="00FB1B94"/>
    <w:rsid w:val="00FB274F"/>
    <w:rsid w:val="00FB2863"/>
    <w:rsid w:val="00FB2F26"/>
    <w:rsid w:val="00FB3198"/>
    <w:rsid w:val="00FB43B9"/>
    <w:rsid w:val="00FB4623"/>
    <w:rsid w:val="00FB4A04"/>
    <w:rsid w:val="00FB50D7"/>
    <w:rsid w:val="00FB5AD7"/>
    <w:rsid w:val="00FB6473"/>
    <w:rsid w:val="00FB669C"/>
    <w:rsid w:val="00FB676B"/>
    <w:rsid w:val="00FB681B"/>
    <w:rsid w:val="00FB6C4A"/>
    <w:rsid w:val="00FB6C96"/>
    <w:rsid w:val="00FB7474"/>
    <w:rsid w:val="00FC087E"/>
    <w:rsid w:val="00FC0BD2"/>
    <w:rsid w:val="00FC2155"/>
    <w:rsid w:val="00FC2945"/>
    <w:rsid w:val="00FC2A0C"/>
    <w:rsid w:val="00FC2BBC"/>
    <w:rsid w:val="00FC2D62"/>
    <w:rsid w:val="00FC33CA"/>
    <w:rsid w:val="00FC38BE"/>
    <w:rsid w:val="00FC400E"/>
    <w:rsid w:val="00FC419E"/>
    <w:rsid w:val="00FC58AD"/>
    <w:rsid w:val="00FC5BBB"/>
    <w:rsid w:val="00FC6264"/>
    <w:rsid w:val="00FC6703"/>
    <w:rsid w:val="00FC6DA2"/>
    <w:rsid w:val="00FC73A8"/>
    <w:rsid w:val="00FC7908"/>
    <w:rsid w:val="00FC7A16"/>
    <w:rsid w:val="00FC7B95"/>
    <w:rsid w:val="00FD0C10"/>
    <w:rsid w:val="00FD1306"/>
    <w:rsid w:val="00FD1779"/>
    <w:rsid w:val="00FD234C"/>
    <w:rsid w:val="00FD3720"/>
    <w:rsid w:val="00FD37A5"/>
    <w:rsid w:val="00FD4F72"/>
    <w:rsid w:val="00FD555C"/>
    <w:rsid w:val="00FD5EB0"/>
    <w:rsid w:val="00FD5EB7"/>
    <w:rsid w:val="00FD6593"/>
    <w:rsid w:val="00FE030E"/>
    <w:rsid w:val="00FE0991"/>
    <w:rsid w:val="00FE0BB9"/>
    <w:rsid w:val="00FE19CB"/>
    <w:rsid w:val="00FE250B"/>
    <w:rsid w:val="00FE5689"/>
    <w:rsid w:val="00FE5C39"/>
    <w:rsid w:val="00FE5FE3"/>
    <w:rsid w:val="00FE6F41"/>
    <w:rsid w:val="00FF0097"/>
    <w:rsid w:val="00FF0A58"/>
    <w:rsid w:val="00FF10BA"/>
    <w:rsid w:val="00FF16C4"/>
    <w:rsid w:val="00FF1DE3"/>
    <w:rsid w:val="00FF1EFB"/>
    <w:rsid w:val="00FF3890"/>
    <w:rsid w:val="00FF3AD3"/>
    <w:rsid w:val="00FF45A0"/>
    <w:rsid w:val="00FF493C"/>
    <w:rsid w:val="00FF51C3"/>
    <w:rsid w:val="00FF5218"/>
    <w:rsid w:val="00FF59D3"/>
    <w:rsid w:val="00FF5E87"/>
    <w:rsid w:val="00FF658C"/>
    <w:rsid w:val="00FF7F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lang w:eastAsia="zh-CN"/>
    </w:rPr>
  </w:style>
  <w:style w:type="paragraph" w:styleId="Titolo1">
    <w:name w:val="heading 1"/>
    <w:basedOn w:val="Normale"/>
    <w:next w:val="Normale"/>
    <w:uiPriority w:val="9"/>
    <w:qFormat/>
    <w:pPr>
      <w:keepNext/>
      <w:spacing w:before="120" w:after="120" w:line="360" w:lineRule="auto"/>
      <w:ind w:left="-426"/>
      <w:jc w:val="both"/>
      <w:outlineLvl w:val="0"/>
    </w:pPr>
    <w:rPr>
      <w:sz w:val="24"/>
      <w:szCs w:val="24"/>
    </w:rPr>
  </w:style>
  <w:style w:type="paragraph" w:styleId="Titolo2">
    <w:name w:val="heading 2"/>
    <w:basedOn w:val="Normale"/>
    <w:next w:val="Normale"/>
    <w:uiPriority w:val="9"/>
    <w:qFormat/>
    <w:pPr>
      <w:spacing w:before="120"/>
      <w:outlineLvl w:val="1"/>
    </w:pPr>
    <w:rPr>
      <w:rFonts w:ascii="Arial" w:hAnsi="Arial"/>
      <w:b/>
      <w:sz w:val="24"/>
      <w:lang w:eastAsia="it-IT"/>
    </w:rPr>
  </w:style>
  <w:style w:type="paragraph" w:styleId="Titolo3">
    <w:name w:val="heading 3"/>
    <w:basedOn w:val="Normale"/>
    <w:next w:val="Rientronormale"/>
    <w:qFormat/>
    <w:pPr>
      <w:ind w:left="354"/>
      <w:outlineLvl w:val="2"/>
    </w:pPr>
    <w:rPr>
      <w:b/>
      <w:sz w:val="24"/>
      <w:lang w:eastAsia="it-IT"/>
    </w:rPr>
  </w:style>
  <w:style w:type="paragraph" w:styleId="Titolo4">
    <w:name w:val="heading 4"/>
    <w:basedOn w:val="Normale"/>
    <w:next w:val="Rientronormale"/>
    <w:qFormat/>
    <w:pPr>
      <w:ind w:left="354"/>
      <w:outlineLvl w:val="3"/>
    </w:pPr>
    <w:rPr>
      <w:sz w:val="24"/>
      <w:u w:val="single"/>
      <w:lang w:eastAsia="it-IT"/>
    </w:rPr>
  </w:style>
  <w:style w:type="paragraph" w:styleId="Titolo5">
    <w:name w:val="heading 5"/>
    <w:basedOn w:val="Normale"/>
    <w:next w:val="Rientronormale"/>
    <w:qFormat/>
    <w:pPr>
      <w:ind w:left="708"/>
      <w:outlineLvl w:val="4"/>
    </w:pPr>
    <w:rPr>
      <w:b/>
      <w:lang w:eastAsia="it-IT"/>
    </w:rPr>
  </w:style>
  <w:style w:type="paragraph" w:styleId="Titolo6">
    <w:name w:val="heading 6"/>
    <w:basedOn w:val="Normale"/>
    <w:next w:val="Rientronormale"/>
    <w:qFormat/>
    <w:pPr>
      <w:ind w:left="708"/>
      <w:outlineLvl w:val="5"/>
    </w:pPr>
    <w:rPr>
      <w:u w:val="single"/>
      <w:lang w:eastAsia="it-IT"/>
    </w:rPr>
  </w:style>
  <w:style w:type="paragraph" w:styleId="Titolo7">
    <w:name w:val="heading 7"/>
    <w:basedOn w:val="Normale"/>
    <w:next w:val="Rientronormale"/>
    <w:uiPriority w:val="99"/>
    <w:qFormat/>
    <w:pPr>
      <w:ind w:left="708"/>
      <w:outlineLvl w:val="6"/>
    </w:pPr>
    <w:rPr>
      <w:i/>
      <w:lang w:eastAsia="it-IT"/>
    </w:rPr>
  </w:style>
  <w:style w:type="paragraph" w:styleId="Titolo8">
    <w:name w:val="heading 8"/>
    <w:basedOn w:val="Normale"/>
    <w:next w:val="Rientronormale"/>
    <w:uiPriority w:val="99"/>
    <w:qFormat/>
    <w:pPr>
      <w:ind w:left="708"/>
      <w:outlineLvl w:val="7"/>
    </w:pPr>
    <w:rPr>
      <w:i/>
      <w:lang w:eastAsia="it-IT"/>
    </w:rPr>
  </w:style>
  <w:style w:type="paragraph" w:styleId="Titolo9">
    <w:name w:val="heading 9"/>
    <w:basedOn w:val="Normale"/>
    <w:next w:val="Rientronormale"/>
    <w:uiPriority w:val="99"/>
    <w:qFormat/>
    <w:pPr>
      <w:ind w:left="708"/>
      <w:outlineLvl w:val="8"/>
    </w:pPr>
    <w:rPr>
      <w: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uiPriority w:val="99"/>
    <w:semiHidden/>
    <w:pPr>
      <w:ind w:left="708"/>
    </w:pPr>
    <w:rPr>
      <w:lang w:eastAsia="it-IT"/>
    </w:rPr>
  </w:style>
  <w:style w:type="character" w:customStyle="1" w:styleId="Titolo2Carattere">
    <w:name w:val="Titolo 2 Carattere"/>
    <w:uiPriority w:val="9"/>
    <w:rPr>
      <w:rFonts w:ascii="Arial" w:eastAsia="Times New Roman" w:hAnsi="Arial"/>
      <w:b/>
      <w:sz w:val="24"/>
    </w:rPr>
  </w:style>
  <w:style w:type="character" w:customStyle="1" w:styleId="Titolo3Carattere">
    <w:name w:val="Titolo 3 Carattere"/>
    <w:rPr>
      <w:rFonts w:ascii="Times New Roman" w:eastAsia="Times New Roman" w:hAnsi="Times New Roman"/>
      <w:b/>
      <w:sz w:val="24"/>
    </w:rPr>
  </w:style>
  <w:style w:type="character" w:customStyle="1" w:styleId="Titolo4Carattere">
    <w:name w:val="Titolo 4 Carattere"/>
    <w:rPr>
      <w:rFonts w:ascii="Times New Roman" w:eastAsia="Times New Roman" w:hAnsi="Times New Roman"/>
      <w:sz w:val="24"/>
      <w:u w:val="single"/>
    </w:rPr>
  </w:style>
  <w:style w:type="character" w:customStyle="1" w:styleId="Titolo5Carattere">
    <w:name w:val="Titolo 5 Carattere"/>
    <w:rPr>
      <w:rFonts w:ascii="Times New Roman" w:eastAsia="Times New Roman" w:hAnsi="Times New Roman"/>
      <w:b/>
    </w:rPr>
  </w:style>
  <w:style w:type="character" w:customStyle="1" w:styleId="Titolo6Carattere">
    <w:name w:val="Titolo 6 Carattere"/>
    <w:rPr>
      <w:rFonts w:ascii="Times New Roman" w:eastAsia="Times New Roman" w:hAnsi="Times New Roman"/>
      <w:u w:val="single"/>
    </w:rPr>
  </w:style>
  <w:style w:type="character" w:customStyle="1" w:styleId="Titolo7Carattere">
    <w:name w:val="Titolo 7 Carattere"/>
    <w:uiPriority w:val="99"/>
    <w:rPr>
      <w:rFonts w:ascii="Times New Roman" w:eastAsia="Times New Roman" w:hAnsi="Times New Roman"/>
      <w:i/>
    </w:rPr>
  </w:style>
  <w:style w:type="character" w:customStyle="1" w:styleId="Titolo8Carattere">
    <w:name w:val="Titolo 8 Carattere"/>
    <w:uiPriority w:val="99"/>
    <w:rPr>
      <w:rFonts w:ascii="Times New Roman" w:eastAsia="Times New Roman" w:hAnsi="Times New Roman"/>
      <w:i/>
    </w:rPr>
  </w:style>
  <w:style w:type="character" w:customStyle="1" w:styleId="Titolo9Carattere">
    <w:name w:val="Titolo 9 Carattere"/>
    <w:uiPriority w:val="99"/>
    <w:rPr>
      <w:rFonts w:ascii="Times New Roman" w:eastAsia="Times New Roman" w:hAnsi="Times New Roman"/>
      <w:i/>
    </w:rPr>
  </w:style>
  <w:style w:type="character" w:customStyle="1" w:styleId="Titolo1Carattere">
    <w:name w:val="Titolo 1 Carattere"/>
    <w:uiPriority w:val="9"/>
    <w:rPr>
      <w:rFonts w:ascii="Times New Roman" w:eastAsia="Times New Roman" w:hAnsi="Times New Roman" w:cs="Times New Roman"/>
      <w:noProof w:val="0"/>
      <w:sz w:val="24"/>
      <w:szCs w:val="24"/>
      <w:lang w:eastAsia="zh-CN"/>
    </w:rPr>
  </w:style>
  <w:style w:type="paragraph" w:styleId="Corpotesto">
    <w:name w:val="Body Text"/>
    <w:aliases w:val="titolo"/>
    <w:basedOn w:val="Normale"/>
    <w:pPr>
      <w:widowControl w:val="0"/>
      <w:tabs>
        <w:tab w:val="left" w:pos="4536"/>
      </w:tabs>
      <w:spacing w:line="564" w:lineRule="exact"/>
      <w:ind w:right="85"/>
      <w:jc w:val="both"/>
    </w:pPr>
  </w:style>
  <w:style w:type="character" w:customStyle="1" w:styleId="CorpotestoCarattere">
    <w:name w:val="Corpo testo Carattere"/>
    <w:aliases w:val="titolo Carattere1,titolo Carattere,Corpo testo Carattere1"/>
    <w:uiPriority w:val="99"/>
    <w:rPr>
      <w:rFonts w:ascii="Times New Roman" w:eastAsia="Times New Roman" w:hAnsi="Times New Roman" w:cs="Times New Roman"/>
      <w:noProof w:val="0"/>
      <w:sz w:val="20"/>
      <w:szCs w:val="20"/>
      <w:lang w:eastAsia="zh-CN"/>
    </w:rPr>
  </w:style>
  <w:style w:type="paragraph" w:styleId="Rientrocorpodeltesto">
    <w:name w:val="Body Text Indent"/>
    <w:basedOn w:val="Normale"/>
    <w:uiPriority w:val="99"/>
    <w:pPr>
      <w:spacing w:after="120" w:line="360" w:lineRule="auto"/>
      <w:ind w:left="-426"/>
      <w:jc w:val="both"/>
    </w:pPr>
    <w:rPr>
      <w:sz w:val="24"/>
      <w:szCs w:val="24"/>
    </w:rPr>
  </w:style>
  <w:style w:type="character" w:customStyle="1" w:styleId="RientrocorpodeltestoCarattere">
    <w:name w:val="Rientro corpo del testo Carattere"/>
    <w:uiPriority w:val="99"/>
    <w:rPr>
      <w:rFonts w:ascii="Times New Roman" w:eastAsia="Times New Roman" w:hAnsi="Times New Roman" w:cs="Times New Roman"/>
      <w:noProof w:val="0"/>
      <w:sz w:val="24"/>
      <w:szCs w:val="24"/>
      <w:lang w:eastAsia="zh-CN"/>
    </w:rPr>
  </w:style>
  <w:style w:type="paragraph" w:customStyle="1" w:styleId="Corpodeltesto21">
    <w:name w:val="Corpo del testo 21"/>
    <w:basedOn w:val="Normale"/>
    <w:pPr>
      <w:widowControl w:val="0"/>
      <w:tabs>
        <w:tab w:val="left" w:pos="357"/>
      </w:tabs>
      <w:jc w:val="both"/>
    </w:pPr>
    <w:rPr>
      <w:rFonts w:ascii="Arial" w:hAnsi="Arial" w:cs="Arial"/>
      <w:sz w:val="24"/>
      <w:szCs w:val="24"/>
    </w:rPr>
  </w:style>
  <w:style w:type="paragraph" w:styleId="Intestazione">
    <w:name w:val="header"/>
    <w:basedOn w:val="Normale"/>
    <w:uiPriority w:val="99"/>
    <w:unhideWhenUsed/>
    <w:pPr>
      <w:tabs>
        <w:tab w:val="center" w:pos="4819"/>
        <w:tab w:val="right" w:pos="9638"/>
      </w:tabs>
    </w:pPr>
  </w:style>
  <w:style w:type="character" w:customStyle="1" w:styleId="IntestazioneCarattere">
    <w:name w:val="Intestazione Carattere"/>
    <w:uiPriority w:val="99"/>
    <w:rPr>
      <w:rFonts w:ascii="Times New Roman" w:eastAsia="Times New Roman" w:hAnsi="Times New Roman"/>
      <w:noProof w:val="0"/>
      <w:lang w:eastAsia="zh-CN"/>
    </w:rPr>
  </w:style>
  <w:style w:type="paragraph" w:styleId="Pidipagina">
    <w:name w:val="footer"/>
    <w:basedOn w:val="Normale"/>
    <w:uiPriority w:val="99"/>
    <w:unhideWhenUsed/>
    <w:pPr>
      <w:tabs>
        <w:tab w:val="center" w:pos="4819"/>
        <w:tab w:val="right" w:pos="9638"/>
      </w:tabs>
    </w:pPr>
  </w:style>
  <w:style w:type="character" w:customStyle="1" w:styleId="PidipaginaCarattere">
    <w:name w:val="Piè di pagina Carattere"/>
    <w:uiPriority w:val="99"/>
    <w:rPr>
      <w:rFonts w:ascii="Times New Roman" w:eastAsia="Times New Roman" w:hAnsi="Times New Roman"/>
      <w:noProof w:val="0"/>
      <w:lang w:eastAsia="zh-CN"/>
    </w:rPr>
  </w:style>
  <w:style w:type="character" w:styleId="Titolodellibro">
    <w:name w:val="Book Title"/>
    <w:qFormat/>
    <w:rPr>
      <w:b/>
      <w:bCs/>
      <w:smallCaps/>
      <w:spacing w:val="5"/>
    </w:rPr>
  </w:style>
  <w:style w:type="paragraph" w:styleId="Testofumetto">
    <w:name w:val="Balloon Text"/>
    <w:basedOn w:val="Normale"/>
    <w:uiPriority w:val="99"/>
    <w:semiHidden/>
    <w:unhideWhenUsed/>
    <w:rPr>
      <w:rFonts w:ascii="Segoe UI" w:hAnsi="Segoe UI" w:cs="Segoe UI"/>
      <w:sz w:val="18"/>
      <w:szCs w:val="18"/>
    </w:rPr>
  </w:style>
  <w:style w:type="character" w:customStyle="1" w:styleId="TestofumettoCarattere">
    <w:name w:val="Testo fumetto Carattere"/>
    <w:uiPriority w:val="99"/>
    <w:semiHidden/>
    <w:rPr>
      <w:rFonts w:ascii="Segoe UI" w:eastAsia="Times New Roman" w:hAnsi="Segoe UI" w:cs="Segoe UI"/>
      <w:noProof w:val="0"/>
      <w:sz w:val="18"/>
      <w:szCs w:val="18"/>
      <w:lang w:eastAsia="zh-CN"/>
    </w:rPr>
  </w:style>
  <w:style w:type="paragraph" w:styleId="Corpodeltesto2">
    <w:name w:val="Body Text 2"/>
    <w:basedOn w:val="Normale"/>
    <w:uiPriority w:val="99"/>
    <w:semiHidden/>
    <w:pPr>
      <w:spacing w:line="360" w:lineRule="auto"/>
      <w:jc w:val="both"/>
    </w:pPr>
    <w:rPr>
      <w:rFonts w:ascii="Verdana" w:hAnsi="Verdana"/>
      <w:i/>
      <w:sz w:val="18"/>
    </w:rPr>
  </w:style>
  <w:style w:type="character" w:customStyle="1" w:styleId="Corpodeltesto2Carattere">
    <w:name w:val="Corpo del testo 2 Carattere"/>
    <w:uiPriority w:val="99"/>
    <w:semiHidden/>
    <w:rPr>
      <w:rFonts w:ascii="Verdana" w:eastAsia="Times New Roman" w:hAnsi="Verdana"/>
      <w:i/>
      <w:noProof w:val="0"/>
      <w:sz w:val="18"/>
      <w:lang w:eastAsia="zh-CN"/>
    </w:rPr>
  </w:style>
  <w:style w:type="character" w:customStyle="1" w:styleId="TestonotaapidipaginaCarattere">
    <w:name w:val="Testo nota a piè di pagina Carattere"/>
    <w:uiPriority w:val="99"/>
    <w:semiHidden/>
    <w:rPr>
      <w:rFonts w:ascii="Times New Roman" w:eastAsia="Times New Roman" w:hAnsi="Times New Roman"/>
    </w:rPr>
  </w:style>
  <w:style w:type="paragraph" w:styleId="Testonotaapidipagina">
    <w:name w:val="footnote text"/>
    <w:basedOn w:val="Normale"/>
    <w:link w:val="TestonotaapidipaginaCarattere1"/>
    <w:uiPriority w:val="99"/>
    <w:semiHidden/>
    <w:rPr>
      <w:lang w:eastAsia="it-IT"/>
    </w:rPr>
  </w:style>
  <w:style w:type="character" w:customStyle="1" w:styleId="TestonotaapidipaginaCarattere1">
    <w:name w:val="Testo nota a piè di pagina Carattere1"/>
    <w:basedOn w:val="Carpredefinitoparagrafo"/>
    <w:link w:val="Testonotaapidipagina"/>
    <w:uiPriority w:val="99"/>
    <w:semiHidden/>
    <w:locked/>
    <w:rsid w:val="00742B27"/>
    <w:rPr>
      <w:rFonts w:ascii="Times New Roman" w:eastAsia="Times New Roman" w:hAnsi="Times New Roman"/>
    </w:rPr>
  </w:style>
  <w:style w:type="paragraph" w:customStyle="1" w:styleId="Rientrocorpodeltesto21">
    <w:name w:val="Rientro corpo del testo 21"/>
    <w:basedOn w:val="Normale"/>
    <w:pPr>
      <w:spacing w:line="480" w:lineRule="atLeast"/>
      <w:ind w:firstLine="708"/>
      <w:jc w:val="both"/>
    </w:pPr>
    <w:rPr>
      <w:sz w:val="24"/>
      <w:lang w:eastAsia="it-IT"/>
    </w:rPr>
  </w:style>
  <w:style w:type="paragraph" w:styleId="Didascalia">
    <w:name w:val="caption"/>
    <w:basedOn w:val="Normale"/>
    <w:next w:val="Normale"/>
    <w:uiPriority w:val="99"/>
    <w:qFormat/>
    <w:pPr>
      <w:spacing w:before="120" w:after="120"/>
    </w:pPr>
    <w:rPr>
      <w:b/>
      <w:lang w:eastAsia="it-IT"/>
    </w:rPr>
  </w:style>
  <w:style w:type="paragraph" w:customStyle="1" w:styleId="Mappadocumento1">
    <w:name w:val="Mappa documento1"/>
    <w:basedOn w:val="Normale"/>
    <w:pPr>
      <w:shd w:val="clear" w:color="auto" w:fill="000080"/>
    </w:pPr>
    <w:rPr>
      <w:rFonts w:ascii="Tahoma" w:hAnsi="Tahoma"/>
      <w:lang w:eastAsia="it-IT"/>
    </w:rPr>
  </w:style>
  <w:style w:type="paragraph" w:customStyle="1" w:styleId="Rientrocorpodeltesto31">
    <w:name w:val="Rientro corpo del testo 31"/>
    <w:basedOn w:val="Normale"/>
    <w:pPr>
      <w:tabs>
        <w:tab w:val="left" w:pos="851"/>
      </w:tabs>
      <w:spacing w:line="480" w:lineRule="atLeast"/>
      <w:ind w:left="426" w:hanging="426"/>
      <w:jc w:val="both"/>
    </w:pPr>
    <w:rPr>
      <w:sz w:val="24"/>
      <w:lang w:eastAsia="it-IT"/>
    </w:rPr>
  </w:style>
  <w:style w:type="character" w:customStyle="1" w:styleId="Rientrocorpodeltesto2Carattere">
    <w:name w:val="Rientro corpo del testo 2 Carattere"/>
    <w:uiPriority w:val="99"/>
    <w:semiHidden/>
    <w:rPr>
      <w:rFonts w:ascii="CG Omega" w:eastAsia="Times New Roman" w:hAnsi="CG Omega"/>
      <w:sz w:val="24"/>
    </w:rPr>
  </w:style>
  <w:style w:type="paragraph" w:styleId="Rientrocorpodeltesto2">
    <w:name w:val="Body Text Indent 2"/>
    <w:basedOn w:val="Normale"/>
    <w:link w:val="Rientrocorpodeltesto2Carattere1"/>
    <w:uiPriority w:val="99"/>
    <w:semiHidden/>
    <w:pPr>
      <w:tabs>
        <w:tab w:val="left" w:pos="2552"/>
      </w:tabs>
      <w:ind w:left="993" w:hanging="284"/>
      <w:jc w:val="both"/>
    </w:pPr>
    <w:rPr>
      <w:rFonts w:ascii="CG Omega" w:hAnsi="CG Omega"/>
      <w:sz w:val="24"/>
      <w:lang w:eastAsia="it-IT"/>
    </w:rPr>
  </w:style>
  <w:style w:type="character" w:customStyle="1" w:styleId="Rientrocorpodeltesto2Carattere1">
    <w:name w:val="Rientro corpo del testo 2 Carattere1"/>
    <w:basedOn w:val="Carpredefinitoparagrafo"/>
    <w:link w:val="Rientrocorpodeltesto2"/>
    <w:uiPriority w:val="99"/>
    <w:semiHidden/>
    <w:locked/>
    <w:rsid w:val="00742B27"/>
    <w:rPr>
      <w:rFonts w:ascii="CG Omega" w:eastAsia="Times New Roman" w:hAnsi="CG Omega"/>
      <w:sz w:val="24"/>
    </w:rPr>
  </w:style>
  <w:style w:type="character" w:customStyle="1" w:styleId="Rientrocorpodeltesto3Carattere">
    <w:name w:val="Rientro corpo del testo 3 Carattere"/>
    <w:uiPriority w:val="99"/>
    <w:semiHidden/>
    <w:rPr>
      <w:rFonts w:ascii="CG Omega" w:eastAsia="Times New Roman" w:hAnsi="CG Omega"/>
      <w:sz w:val="24"/>
    </w:rPr>
  </w:style>
  <w:style w:type="paragraph" w:styleId="Rientrocorpodeltesto3">
    <w:name w:val="Body Text Indent 3"/>
    <w:basedOn w:val="Normale"/>
    <w:link w:val="Rientrocorpodeltesto3Carattere1"/>
    <w:uiPriority w:val="99"/>
    <w:semiHidden/>
    <w:pPr>
      <w:tabs>
        <w:tab w:val="left" w:pos="2552"/>
      </w:tabs>
      <w:ind w:left="1134" w:hanging="567"/>
      <w:jc w:val="both"/>
    </w:pPr>
    <w:rPr>
      <w:rFonts w:ascii="CG Omega" w:hAnsi="CG Omega"/>
      <w:sz w:val="24"/>
      <w:lang w:eastAsia="it-IT"/>
    </w:rPr>
  </w:style>
  <w:style w:type="character" w:customStyle="1" w:styleId="Rientrocorpodeltesto3Carattere1">
    <w:name w:val="Rientro corpo del testo 3 Carattere1"/>
    <w:basedOn w:val="Carpredefinitoparagrafo"/>
    <w:link w:val="Rientrocorpodeltesto3"/>
    <w:uiPriority w:val="99"/>
    <w:semiHidden/>
    <w:locked/>
    <w:rsid w:val="00742B27"/>
    <w:rPr>
      <w:rFonts w:ascii="CG Omega" w:eastAsia="Times New Roman" w:hAnsi="CG Omega"/>
      <w:sz w:val="24"/>
    </w:rPr>
  </w:style>
  <w:style w:type="character" w:customStyle="1" w:styleId="Corpodeltesto3Carattere">
    <w:name w:val="Corpo del testo 3 Carattere"/>
    <w:rPr>
      <w:rFonts w:ascii="CG Omega" w:eastAsia="Times New Roman" w:hAnsi="CG Omega"/>
      <w:sz w:val="22"/>
    </w:rPr>
  </w:style>
  <w:style w:type="paragraph" w:styleId="Corpodeltesto3">
    <w:name w:val="Body Text 3"/>
    <w:basedOn w:val="Normale"/>
    <w:link w:val="Corpodeltesto3Carattere1"/>
    <w:uiPriority w:val="99"/>
    <w:rPr>
      <w:rFonts w:ascii="CG Omega" w:hAnsi="CG Omega"/>
      <w:sz w:val="22"/>
      <w:lang w:eastAsia="it-IT"/>
    </w:rPr>
  </w:style>
  <w:style w:type="character" w:customStyle="1" w:styleId="Corpodeltesto3Carattere1">
    <w:name w:val="Corpo del testo 3 Carattere1"/>
    <w:basedOn w:val="Carpredefinitoparagrafo"/>
    <w:link w:val="Corpodeltesto3"/>
    <w:uiPriority w:val="99"/>
    <w:locked/>
    <w:rsid w:val="00742B27"/>
    <w:rPr>
      <w:rFonts w:ascii="CG Omega" w:eastAsia="Times New Roman" w:hAnsi="CG Omega"/>
      <w:sz w:val="22"/>
    </w:rPr>
  </w:style>
  <w:style w:type="character" w:customStyle="1" w:styleId="MappadocumentoCarattere">
    <w:name w:val="Mappa documento Carattere"/>
    <w:uiPriority w:val="99"/>
    <w:semiHidden/>
    <w:rPr>
      <w:rFonts w:ascii="Tahoma" w:eastAsia="Times New Roman" w:hAnsi="Tahoma"/>
      <w:shd w:val="clear" w:color="auto" w:fill="000080"/>
    </w:rPr>
  </w:style>
  <w:style w:type="paragraph" w:styleId="Mappadocumento">
    <w:name w:val="Document Map"/>
    <w:basedOn w:val="Normale"/>
    <w:link w:val="MappadocumentoCarattere1"/>
    <w:uiPriority w:val="99"/>
    <w:semiHidden/>
    <w:pPr>
      <w:shd w:val="clear" w:color="auto" w:fill="000080"/>
    </w:pPr>
    <w:rPr>
      <w:rFonts w:ascii="Tahoma" w:hAnsi="Tahoma"/>
      <w:lang w:eastAsia="it-IT"/>
    </w:rPr>
  </w:style>
  <w:style w:type="character" w:customStyle="1" w:styleId="MappadocumentoCarattere1">
    <w:name w:val="Mappa documento Carattere1"/>
    <w:basedOn w:val="Carpredefinitoparagrafo"/>
    <w:link w:val="Mappadocumento"/>
    <w:uiPriority w:val="99"/>
    <w:semiHidden/>
    <w:locked/>
    <w:rsid w:val="00742B27"/>
    <w:rPr>
      <w:rFonts w:ascii="Tahoma" w:eastAsia="Times New Roman" w:hAnsi="Tahoma"/>
      <w:shd w:val="clear" w:color="auto" w:fill="000080"/>
    </w:rPr>
  </w:style>
  <w:style w:type="character" w:styleId="Rimandonotaapidipagina">
    <w:name w:val="footnote reference"/>
    <w:semiHidden/>
    <w:rsid w:val="00FF10BA"/>
    <w:rPr>
      <w:position w:val="6"/>
      <w:sz w:val="16"/>
    </w:rPr>
  </w:style>
  <w:style w:type="table" w:styleId="Grigliatabella">
    <w:name w:val="Table Grid"/>
    <w:basedOn w:val="Tabellanormale"/>
    <w:uiPriority w:val="39"/>
    <w:rsid w:val="00FF10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147B83"/>
    <w:rPr>
      <w:rFonts w:ascii="Times New Roman" w:eastAsia="Times New Roman" w:hAnsi="Times New Roman"/>
      <w:lang w:eastAsia="zh-CN"/>
    </w:rPr>
  </w:style>
  <w:style w:type="paragraph" w:styleId="NormaleWeb">
    <w:name w:val="Normal (Web)"/>
    <w:basedOn w:val="Normale"/>
    <w:uiPriority w:val="99"/>
    <w:unhideWhenUsed/>
    <w:rsid w:val="007C7627"/>
    <w:pPr>
      <w:spacing w:before="100" w:beforeAutospacing="1" w:after="100" w:afterAutospacing="1"/>
    </w:pPr>
    <w:rPr>
      <w:rFonts w:eastAsia="Calibri"/>
      <w:sz w:val="24"/>
      <w:szCs w:val="24"/>
      <w:lang w:eastAsia="it-IT"/>
    </w:rPr>
  </w:style>
  <w:style w:type="paragraph" w:customStyle="1" w:styleId="BodyText212">
    <w:name w:val="Body Text 212"/>
    <w:basedOn w:val="Normale"/>
    <w:uiPriority w:val="99"/>
    <w:rsid w:val="00CC6C1E"/>
    <w:pPr>
      <w:spacing w:line="480" w:lineRule="atLeast"/>
      <w:ind w:left="284" w:hanging="284"/>
      <w:jc w:val="both"/>
    </w:pPr>
    <w:rPr>
      <w:sz w:val="24"/>
      <w:lang w:eastAsia="it-IT"/>
    </w:rPr>
  </w:style>
  <w:style w:type="paragraph" w:customStyle="1" w:styleId="BodyText211">
    <w:name w:val="Body Text 211"/>
    <w:basedOn w:val="Normale"/>
    <w:uiPriority w:val="99"/>
    <w:rsid w:val="00CC6C1E"/>
    <w:pPr>
      <w:tabs>
        <w:tab w:val="left" w:pos="567"/>
        <w:tab w:val="left" w:pos="851"/>
      </w:tabs>
      <w:spacing w:line="480" w:lineRule="atLeast"/>
      <w:ind w:left="567" w:hanging="283"/>
      <w:jc w:val="both"/>
    </w:pPr>
    <w:rPr>
      <w:sz w:val="24"/>
      <w:lang w:eastAsia="it-IT"/>
    </w:rPr>
  </w:style>
  <w:style w:type="paragraph" w:customStyle="1" w:styleId="BodyText210">
    <w:name w:val="Body Text 210"/>
    <w:basedOn w:val="Normale"/>
    <w:uiPriority w:val="99"/>
    <w:rsid w:val="00CC6C1E"/>
    <w:pPr>
      <w:tabs>
        <w:tab w:val="left" w:pos="709"/>
        <w:tab w:val="left" w:pos="993"/>
      </w:tabs>
      <w:spacing w:line="480" w:lineRule="atLeast"/>
      <w:ind w:left="567" w:hanging="567"/>
      <w:jc w:val="both"/>
    </w:pPr>
    <w:rPr>
      <w:sz w:val="24"/>
      <w:lang w:eastAsia="it-IT"/>
    </w:rPr>
  </w:style>
  <w:style w:type="paragraph" w:customStyle="1" w:styleId="BodyText29">
    <w:name w:val="Body Text 29"/>
    <w:basedOn w:val="Normale"/>
    <w:uiPriority w:val="99"/>
    <w:rsid w:val="00CC6C1E"/>
    <w:pPr>
      <w:spacing w:line="480" w:lineRule="atLeast"/>
      <w:ind w:left="1134" w:hanging="1134"/>
      <w:jc w:val="both"/>
    </w:pPr>
    <w:rPr>
      <w:sz w:val="24"/>
      <w:lang w:eastAsia="it-IT"/>
    </w:rPr>
  </w:style>
  <w:style w:type="paragraph" w:customStyle="1" w:styleId="BodyText28">
    <w:name w:val="Body Text 28"/>
    <w:basedOn w:val="Normale"/>
    <w:uiPriority w:val="99"/>
    <w:rsid w:val="00CC6C1E"/>
    <w:pPr>
      <w:spacing w:line="480" w:lineRule="atLeast"/>
      <w:ind w:left="567"/>
      <w:jc w:val="both"/>
    </w:pPr>
    <w:rPr>
      <w:sz w:val="24"/>
      <w:lang w:eastAsia="it-IT"/>
    </w:rPr>
  </w:style>
  <w:style w:type="paragraph" w:customStyle="1" w:styleId="BodyText27">
    <w:name w:val="Body Text 27"/>
    <w:basedOn w:val="Normale"/>
    <w:uiPriority w:val="99"/>
    <w:rsid w:val="00CC6C1E"/>
    <w:pPr>
      <w:spacing w:line="480" w:lineRule="atLeast"/>
      <w:ind w:firstLine="709"/>
      <w:jc w:val="both"/>
    </w:pPr>
    <w:rPr>
      <w:sz w:val="24"/>
      <w:lang w:eastAsia="it-IT"/>
    </w:rPr>
  </w:style>
  <w:style w:type="paragraph" w:customStyle="1" w:styleId="BodyTextIndent22">
    <w:name w:val="Body Text Indent 22"/>
    <w:basedOn w:val="Normale"/>
    <w:uiPriority w:val="99"/>
    <w:rsid w:val="00CC6C1E"/>
    <w:pPr>
      <w:tabs>
        <w:tab w:val="left" w:pos="426"/>
        <w:tab w:val="left" w:pos="851"/>
        <w:tab w:val="decimal" w:pos="1134"/>
      </w:tabs>
      <w:spacing w:line="480" w:lineRule="atLeast"/>
      <w:ind w:left="568" w:hanging="568"/>
      <w:jc w:val="both"/>
    </w:pPr>
    <w:rPr>
      <w:sz w:val="24"/>
      <w:lang w:eastAsia="it-IT"/>
    </w:rPr>
  </w:style>
  <w:style w:type="paragraph" w:customStyle="1" w:styleId="BodyText26">
    <w:name w:val="Body Text 26"/>
    <w:basedOn w:val="Normale"/>
    <w:uiPriority w:val="99"/>
    <w:rsid w:val="00CC6C1E"/>
    <w:pPr>
      <w:tabs>
        <w:tab w:val="left" w:pos="851"/>
      </w:tabs>
      <w:spacing w:line="480" w:lineRule="atLeast"/>
      <w:jc w:val="center"/>
    </w:pPr>
    <w:rPr>
      <w:rFonts w:ascii="CG Omega" w:hAnsi="CG Omega"/>
      <w:b/>
      <w:sz w:val="24"/>
      <w:lang w:eastAsia="it-IT"/>
    </w:rPr>
  </w:style>
  <w:style w:type="paragraph" w:customStyle="1" w:styleId="BodyText25">
    <w:name w:val="Body Text 25"/>
    <w:basedOn w:val="Normale"/>
    <w:uiPriority w:val="99"/>
    <w:rsid w:val="00CC6C1E"/>
    <w:pPr>
      <w:tabs>
        <w:tab w:val="left" w:pos="709"/>
        <w:tab w:val="left" w:pos="993"/>
      </w:tabs>
      <w:ind w:left="1068"/>
      <w:jc w:val="both"/>
    </w:pPr>
    <w:rPr>
      <w:rFonts w:ascii="CG Omega" w:hAnsi="CG Omega"/>
      <w:sz w:val="24"/>
      <w:lang w:eastAsia="it-IT"/>
    </w:rPr>
  </w:style>
  <w:style w:type="paragraph" w:customStyle="1" w:styleId="BodyTextIndent21">
    <w:name w:val="Body Text Indent 21"/>
    <w:basedOn w:val="Normale"/>
    <w:uiPriority w:val="99"/>
    <w:rsid w:val="00CC6C1E"/>
    <w:pPr>
      <w:tabs>
        <w:tab w:val="left" w:pos="851"/>
        <w:tab w:val="left" w:pos="1410"/>
      </w:tabs>
      <w:ind w:left="1276" w:hanging="425"/>
      <w:jc w:val="both"/>
    </w:pPr>
    <w:rPr>
      <w:rFonts w:ascii="CG Omega" w:hAnsi="CG Omega"/>
      <w:sz w:val="24"/>
      <w:lang w:eastAsia="it-IT"/>
    </w:rPr>
  </w:style>
  <w:style w:type="paragraph" w:customStyle="1" w:styleId="DocumentMap6">
    <w:name w:val="Document Map6"/>
    <w:basedOn w:val="Normale"/>
    <w:uiPriority w:val="99"/>
    <w:rsid w:val="00CC6C1E"/>
    <w:pPr>
      <w:shd w:val="clear" w:color="auto" w:fill="000080"/>
    </w:pPr>
    <w:rPr>
      <w:rFonts w:ascii="Tahoma" w:hAnsi="Tahoma"/>
      <w:lang w:eastAsia="it-IT"/>
    </w:rPr>
  </w:style>
  <w:style w:type="paragraph" w:customStyle="1" w:styleId="DocumentMap5">
    <w:name w:val="Document Map5"/>
    <w:basedOn w:val="Normale"/>
    <w:uiPriority w:val="99"/>
    <w:rsid w:val="00CC6C1E"/>
    <w:pPr>
      <w:shd w:val="clear" w:color="auto" w:fill="000080"/>
    </w:pPr>
    <w:rPr>
      <w:rFonts w:ascii="Tahoma" w:hAnsi="Tahoma"/>
      <w:lang w:eastAsia="it-IT"/>
    </w:rPr>
  </w:style>
  <w:style w:type="paragraph" w:customStyle="1" w:styleId="DocumentMap4">
    <w:name w:val="Document Map4"/>
    <w:basedOn w:val="Normale"/>
    <w:uiPriority w:val="99"/>
    <w:rsid w:val="00CC6C1E"/>
    <w:pPr>
      <w:shd w:val="clear" w:color="auto" w:fill="000080"/>
    </w:pPr>
    <w:rPr>
      <w:rFonts w:ascii="Tahoma" w:hAnsi="Tahoma"/>
      <w:lang w:eastAsia="it-IT"/>
    </w:rPr>
  </w:style>
  <w:style w:type="paragraph" w:customStyle="1" w:styleId="DocumentMap3">
    <w:name w:val="Document Map3"/>
    <w:basedOn w:val="Normale"/>
    <w:uiPriority w:val="99"/>
    <w:rsid w:val="00CC6C1E"/>
    <w:pPr>
      <w:shd w:val="clear" w:color="auto" w:fill="000080"/>
    </w:pPr>
    <w:rPr>
      <w:rFonts w:ascii="Tahoma" w:hAnsi="Tahoma"/>
      <w:lang w:eastAsia="it-IT"/>
    </w:rPr>
  </w:style>
  <w:style w:type="paragraph" w:customStyle="1" w:styleId="DocumentMap2">
    <w:name w:val="Document Map2"/>
    <w:basedOn w:val="Normale"/>
    <w:uiPriority w:val="99"/>
    <w:rsid w:val="00CC6C1E"/>
    <w:pPr>
      <w:shd w:val="clear" w:color="auto" w:fill="000080"/>
    </w:pPr>
    <w:rPr>
      <w:rFonts w:ascii="Tahoma" w:hAnsi="Tahoma"/>
      <w:lang w:eastAsia="it-IT"/>
    </w:rPr>
  </w:style>
  <w:style w:type="paragraph" w:customStyle="1" w:styleId="DocumentMap1">
    <w:name w:val="Document Map1"/>
    <w:basedOn w:val="Normale"/>
    <w:uiPriority w:val="99"/>
    <w:rsid w:val="00CC6C1E"/>
    <w:pPr>
      <w:shd w:val="clear" w:color="auto" w:fill="000080"/>
    </w:pPr>
    <w:rPr>
      <w:rFonts w:ascii="Tahoma" w:hAnsi="Tahoma"/>
      <w:lang w:eastAsia="it-IT"/>
    </w:rPr>
  </w:style>
  <w:style w:type="paragraph" w:customStyle="1" w:styleId="BodyText24">
    <w:name w:val="Body Text 24"/>
    <w:basedOn w:val="Normale"/>
    <w:uiPriority w:val="99"/>
    <w:rsid w:val="00CC6C1E"/>
    <w:pPr>
      <w:tabs>
        <w:tab w:val="left" w:pos="993"/>
      </w:tabs>
      <w:ind w:left="709"/>
      <w:jc w:val="both"/>
    </w:pPr>
    <w:rPr>
      <w:rFonts w:ascii="CG Omega" w:hAnsi="CG Omega"/>
      <w:sz w:val="24"/>
      <w:lang w:eastAsia="it-IT"/>
    </w:rPr>
  </w:style>
  <w:style w:type="paragraph" w:customStyle="1" w:styleId="BodyText23">
    <w:name w:val="Body Text 23"/>
    <w:basedOn w:val="Normale"/>
    <w:uiPriority w:val="99"/>
    <w:rsid w:val="00CC6C1E"/>
    <w:pPr>
      <w:ind w:firstLine="426"/>
      <w:jc w:val="both"/>
    </w:pPr>
    <w:rPr>
      <w:rFonts w:ascii="CG Omega" w:hAnsi="CG Omega"/>
      <w:sz w:val="24"/>
      <w:lang w:eastAsia="it-IT"/>
    </w:rPr>
  </w:style>
  <w:style w:type="paragraph" w:customStyle="1" w:styleId="BodyText22">
    <w:name w:val="Body Text 22"/>
    <w:basedOn w:val="Normale"/>
    <w:uiPriority w:val="99"/>
    <w:rsid w:val="00CC6C1E"/>
    <w:pPr>
      <w:ind w:right="-1"/>
      <w:jc w:val="both"/>
    </w:pPr>
    <w:rPr>
      <w:rFonts w:ascii="CG Omega" w:hAnsi="CG Omega"/>
      <w:sz w:val="24"/>
      <w:lang w:eastAsia="it-IT"/>
    </w:rPr>
  </w:style>
  <w:style w:type="paragraph" w:customStyle="1" w:styleId="BodyText21">
    <w:name w:val="Body Text 21"/>
    <w:basedOn w:val="Normale"/>
    <w:uiPriority w:val="99"/>
    <w:rsid w:val="00CC6C1E"/>
    <w:pPr>
      <w:ind w:firstLine="708"/>
      <w:jc w:val="both"/>
    </w:pPr>
    <w:rPr>
      <w:rFonts w:ascii="CG Omega" w:hAnsi="CG Omega"/>
      <w:i/>
      <w:sz w:val="24"/>
      <w:u w:val="single"/>
      <w:lang w:eastAsia="it-IT"/>
    </w:rPr>
  </w:style>
  <w:style w:type="character" w:customStyle="1" w:styleId="FontStyle34">
    <w:name w:val="Font Style34"/>
    <w:rsid w:val="00CC6C1E"/>
    <w:rPr>
      <w:rFonts w:ascii="Arial Unicode MS" w:eastAsia="Arial Unicode MS" w:cs="Arial Unicode MS"/>
      <w:sz w:val="20"/>
      <w:szCs w:val="20"/>
    </w:rPr>
  </w:style>
  <w:style w:type="paragraph" w:styleId="Testonormale">
    <w:name w:val="Plain Text"/>
    <w:basedOn w:val="Normale"/>
    <w:link w:val="TestonormaleCarattere"/>
    <w:uiPriority w:val="99"/>
    <w:rsid w:val="00B700CE"/>
    <w:rPr>
      <w:rFonts w:ascii="Courier New" w:hAnsi="Courier New"/>
      <w:lang w:eastAsia="it-IT"/>
    </w:rPr>
  </w:style>
  <w:style w:type="character" w:customStyle="1" w:styleId="TestonormaleCarattere">
    <w:name w:val="Testo normale Carattere"/>
    <w:link w:val="Testonormale"/>
    <w:uiPriority w:val="99"/>
    <w:rsid w:val="00B700CE"/>
    <w:rPr>
      <w:rFonts w:ascii="Courier New" w:eastAsia="Times New Roman" w:hAnsi="Courier New"/>
    </w:rPr>
  </w:style>
  <w:style w:type="paragraph" w:customStyle="1" w:styleId="Paragrafoelenco1">
    <w:name w:val="Paragrafo elenco1"/>
    <w:basedOn w:val="Normale"/>
    <w:rsid w:val="00BF557C"/>
    <w:pPr>
      <w:spacing w:after="200" w:line="276" w:lineRule="auto"/>
      <w:ind w:left="720"/>
    </w:pPr>
    <w:rPr>
      <w:rFonts w:ascii="Calibri" w:hAnsi="Calibri"/>
      <w:sz w:val="22"/>
      <w:lang w:eastAsia="it-IT"/>
    </w:rPr>
  </w:style>
  <w:style w:type="paragraph" w:styleId="Paragrafoelenco">
    <w:name w:val="List Paragraph"/>
    <w:basedOn w:val="Normale"/>
    <w:uiPriority w:val="34"/>
    <w:qFormat/>
    <w:rsid w:val="008E1720"/>
    <w:pPr>
      <w:ind w:left="708"/>
    </w:pPr>
  </w:style>
  <w:style w:type="paragraph" w:customStyle="1" w:styleId="grassetto1">
    <w:name w:val="grassetto1"/>
    <w:basedOn w:val="Normale"/>
    <w:uiPriority w:val="99"/>
    <w:rsid w:val="003C7DB5"/>
    <w:pPr>
      <w:spacing w:after="24"/>
    </w:pPr>
    <w:rPr>
      <w:b/>
      <w:bCs/>
      <w:sz w:val="24"/>
      <w:szCs w:val="24"/>
      <w:lang w:eastAsia="it-IT"/>
    </w:rPr>
  </w:style>
  <w:style w:type="character" w:styleId="Enfasigrassetto">
    <w:name w:val="Strong"/>
    <w:uiPriority w:val="22"/>
    <w:qFormat/>
    <w:rsid w:val="003C7DB5"/>
    <w:rPr>
      <w:b/>
      <w:bCs/>
    </w:rPr>
  </w:style>
  <w:style w:type="character" w:styleId="Collegamentoipertestuale">
    <w:name w:val="Hyperlink"/>
    <w:uiPriority w:val="99"/>
    <w:semiHidden/>
    <w:unhideWhenUsed/>
    <w:rsid w:val="003C7DB5"/>
    <w:rPr>
      <w:strike w:val="0"/>
      <w:dstrike w:val="0"/>
      <w:color w:val="337AB7"/>
      <w:u w:val="none"/>
      <w:effect w:val="none"/>
      <w:shd w:val="clear" w:color="auto" w:fill="auto"/>
    </w:rPr>
  </w:style>
  <w:style w:type="character" w:styleId="Enfasicorsivo">
    <w:name w:val="Emphasis"/>
    <w:uiPriority w:val="20"/>
    <w:qFormat/>
    <w:rsid w:val="003C7DB5"/>
    <w:rPr>
      <w:i/>
      <w:iCs/>
    </w:rPr>
  </w:style>
  <w:style w:type="paragraph" w:customStyle="1" w:styleId="Manuale">
    <w:name w:val="Manuale"/>
    <w:basedOn w:val="Normale"/>
    <w:uiPriority w:val="99"/>
    <w:rsid w:val="00CC57D8"/>
    <w:pPr>
      <w:ind w:right="1950"/>
      <w:jc w:val="both"/>
    </w:pPr>
    <w:rPr>
      <w:rFonts w:ascii="Arial" w:hAnsi="Arial" w:cs="Arial"/>
      <w:sz w:val="22"/>
      <w:szCs w:val="24"/>
      <w:lang w:eastAsia="it-IT"/>
    </w:rPr>
  </w:style>
  <w:style w:type="character" w:customStyle="1" w:styleId="Nessuno">
    <w:name w:val="Nessuno"/>
    <w:rsid w:val="006E2500"/>
  </w:style>
  <w:style w:type="paragraph" w:customStyle="1" w:styleId="popolo">
    <w:name w:val="popolo"/>
    <w:basedOn w:val="Normale"/>
    <w:uiPriority w:val="99"/>
    <w:rsid w:val="007658F6"/>
    <w:pPr>
      <w:spacing w:before="100" w:beforeAutospacing="1" w:after="100" w:afterAutospacing="1"/>
    </w:pPr>
    <w:rPr>
      <w:sz w:val="24"/>
      <w:szCs w:val="24"/>
      <w:lang w:eastAsia="it-IT"/>
    </w:rPr>
  </w:style>
  <w:style w:type="paragraph" w:customStyle="1" w:styleId="Corpodeltesto210">
    <w:name w:val="Corpo del testo 21"/>
    <w:basedOn w:val="Normale"/>
    <w:uiPriority w:val="99"/>
    <w:rsid w:val="00F13088"/>
    <w:pPr>
      <w:widowControl w:val="0"/>
      <w:tabs>
        <w:tab w:val="left" w:pos="357"/>
      </w:tabs>
      <w:jc w:val="both"/>
    </w:pPr>
    <w:rPr>
      <w:rFonts w:ascii="Arial" w:hAnsi="Arial" w:cs="Arial"/>
      <w:sz w:val="24"/>
      <w:szCs w:val="24"/>
    </w:rPr>
  </w:style>
  <w:style w:type="paragraph" w:customStyle="1" w:styleId="Rientrocorpodeltesto210">
    <w:name w:val="Rientro corpo del testo 21"/>
    <w:basedOn w:val="Normale"/>
    <w:uiPriority w:val="99"/>
    <w:rsid w:val="00D63C9E"/>
    <w:pPr>
      <w:spacing w:line="480" w:lineRule="atLeast"/>
      <w:ind w:firstLine="708"/>
      <w:jc w:val="both"/>
    </w:pPr>
    <w:rPr>
      <w:sz w:val="24"/>
      <w:lang w:eastAsia="it-IT"/>
    </w:rPr>
  </w:style>
  <w:style w:type="paragraph" w:customStyle="1" w:styleId="Mappadocumento10">
    <w:name w:val="Mappa documento1"/>
    <w:basedOn w:val="Normale"/>
    <w:uiPriority w:val="99"/>
    <w:rsid w:val="00D63C9E"/>
    <w:pPr>
      <w:shd w:val="clear" w:color="auto" w:fill="000080"/>
    </w:pPr>
    <w:rPr>
      <w:rFonts w:ascii="Tahoma" w:hAnsi="Tahoma"/>
      <w:lang w:eastAsia="it-IT"/>
    </w:rPr>
  </w:style>
  <w:style w:type="paragraph" w:customStyle="1" w:styleId="Rientrocorpodeltesto310">
    <w:name w:val="Rientro corpo del testo 31"/>
    <w:basedOn w:val="Normale"/>
    <w:uiPriority w:val="99"/>
    <w:rsid w:val="00D63C9E"/>
    <w:pPr>
      <w:tabs>
        <w:tab w:val="left" w:pos="851"/>
      </w:tabs>
      <w:spacing w:line="480" w:lineRule="atLeast"/>
      <w:ind w:left="426" w:hanging="426"/>
      <w:jc w:val="both"/>
    </w:pPr>
    <w:rPr>
      <w:sz w:val="24"/>
      <w:lang w:eastAsia="it-IT"/>
    </w:rPr>
  </w:style>
  <w:style w:type="paragraph" w:customStyle="1" w:styleId="Paragrafoelenco10">
    <w:name w:val="Paragrafo elenco1"/>
    <w:basedOn w:val="Normale"/>
    <w:uiPriority w:val="99"/>
    <w:rsid w:val="00D63C9E"/>
    <w:pPr>
      <w:spacing w:after="200" w:line="276" w:lineRule="auto"/>
      <w:ind w:left="720"/>
    </w:pPr>
    <w:rPr>
      <w:rFonts w:ascii="Calibri" w:hAnsi="Calibri"/>
      <w:sz w:val="22"/>
      <w:lang w:eastAsia="it-IT"/>
    </w:rPr>
  </w:style>
  <w:style w:type="paragraph" w:customStyle="1" w:styleId="Corpodeltesto22">
    <w:name w:val="Corpo del testo 22"/>
    <w:basedOn w:val="Normale"/>
    <w:uiPriority w:val="99"/>
    <w:rsid w:val="001F1183"/>
    <w:pPr>
      <w:ind w:firstLine="708"/>
      <w:jc w:val="both"/>
    </w:pPr>
    <w:rPr>
      <w:rFonts w:ascii="CG Omega" w:hAnsi="CG Omega"/>
      <w:sz w:val="24"/>
      <w:lang w:eastAsia="it-IT"/>
    </w:rPr>
  </w:style>
  <w:style w:type="paragraph" w:customStyle="1" w:styleId="Normale1">
    <w:name w:val="Normale1"/>
    <w:uiPriority w:val="99"/>
    <w:rsid w:val="006B24B4"/>
    <w:pPr>
      <w:spacing w:before="100" w:after="200" w:line="276" w:lineRule="auto"/>
    </w:pPr>
    <w:rPr>
      <w:rFonts w:cs="Calibri"/>
      <w:color w:val="000000"/>
      <w:u w:color="000000"/>
      <w:lang w:val="en-US"/>
    </w:rPr>
  </w:style>
  <w:style w:type="character" w:styleId="Collegamentovisitato">
    <w:name w:val="FollowedHyperlink"/>
    <w:basedOn w:val="Carpredefinitoparagrafo"/>
    <w:uiPriority w:val="99"/>
    <w:semiHidden/>
    <w:unhideWhenUsed/>
    <w:rsid w:val="001347F1"/>
    <w:rPr>
      <w:color w:val="954F72" w:themeColor="followedHyperlink"/>
      <w:u w:val="single"/>
    </w:rPr>
  </w:style>
  <w:style w:type="paragraph" w:customStyle="1" w:styleId="Corpodeltesto23">
    <w:name w:val="Corpo del testo 23"/>
    <w:basedOn w:val="Normale"/>
    <w:uiPriority w:val="99"/>
    <w:rsid w:val="00CD4E9E"/>
    <w:pPr>
      <w:ind w:left="993"/>
    </w:pPr>
    <w:rPr>
      <w:rFonts w:ascii="Arial" w:hAnsi="Arial"/>
      <w:b/>
      <w:sz w:val="24"/>
      <w:u w:val="single"/>
      <w:lang w:eastAsia="it-IT"/>
    </w:rPr>
  </w:style>
  <w:style w:type="character" w:customStyle="1" w:styleId="hgkelc">
    <w:name w:val="hgkelc"/>
    <w:basedOn w:val="Carpredefinitoparagrafo"/>
    <w:rsid w:val="00842789"/>
  </w:style>
  <w:style w:type="paragraph" w:styleId="Titolo">
    <w:name w:val="Title"/>
    <w:basedOn w:val="Normale"/>
    <w:next w:val="Normale"/>
    <w:link w:val="TitoloCarattere"/>
    <w:uiPriority w:val="99"/>
    <w:qFormat/>
    <w:rsid w:val="00842789"/>
    <w:pPr>
      <w:suppressAutoHyphens/>
      <w:autoSpaceDN w:val="0"/>
      <w:ind w:left="567" w:right="567"/>
      <w:jc w:val="center"/>
    </w:pPr>
    <w:rPr>
      <w:rFonts w:ascii="Calibri Light" w:eastAsia="SimSun" w:hAnsi="Calibri Light"/>
      <w:color w:val="000000"/>
      <w:sz w:val="56"/>
      <w:szCs w:val="56"/>
      <w:lang w:eastAsia="en-US"/>
    </w:rPr>
  </w:style>
  <w:style w:type="character" w:customStyle="1" w:styleId="TitoloCarattere">
    <w:name w:val="Titolo Carattere"/>
    <w:basedOn w:val="Carpredefinitoparagrafo"/>
    <w:link w:val="Titolo"/>
    <w:uiPriority w:val="99"/>
    <w:rsid w:val="00842789"/>
    <w:rPr>
      <w:rFonts w:ascii="Calibri Light" w:eastAsia="SimSun" w:hAnsi="Calibri Light"/>
      <w:color w:val="000000"/>
      <w:sz w:val="56"/>
      <w:szCs w:val="56"/>
      <w:lang w:eastAsia="en-US"/>
    </w:rPr>
  </w:style>
  <w:style w:type="paragraph" w:customStyle="1" w:styleId="Default">
    <w:name w:val="Default"/>
    <w:uiPriority w:val="99"/>
    <w:rsid w:val="006B4D62"/>
    <w:pPr>
      <w:autoSpaceDE w:val="0"/>
      <w:autoSpaceDN w:val="0"/>
      <w:adjustRightInd w:val="0"/>
    </w:pPr>
    <w:rPr>
      <w:rFonts w:ascii="Arial" w:hAnsi="Arial" w:cs="Arial"/>
      <w:color w:val="000000"/>
      <w:sz w:val="24"/>
      <w:szCs w:val="24"/>
    </w:rPr>
  </w:style>
  <w:style w:type="character" w:customStyle="1" w:styleId="CorpotestoCarattere2">
    <w:name w:val="Corpo testo Carattere2"/>
    <w:aliases w:val="titolo Carattere2"/>
    <w:basedOn w:val="Carpredefinitoparagrafo"/>
    <w:semiHidden/>
    <w:rsid w:val="001C30DF"/>
    <w:rPr>
      <w:rFonts w:ascii="Times New Roman" w:eastAsia="Times New Roman" w:hAnsi="Times New Roman" w:cs="Times New Roman"/>
      <w:lang w:eastAsia="zh-CN"/>
    </w:rPr>
  </w:style>
  <w:style w:type="character" w:customStyle="1" w:styleId="rosso">
    <w:name w:val="rosso"/>
    <w:basedOn w:val="Carpredefinitoparagrafo"/>
    <w:rsid w:val="001C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1310">
      <w:bodyDiv w:val="1"/>
      <w:marLeft w:val="0"/>
      <w:marRight w:val="0"/>
      <w:marTop w:val="0"/>
      <w:marBottom w:val="0"/>
      <w:divBdr>
        <w:top w:val="none" w:sz="0" w:space="0" w:color="auto"/>
        <w:left w:val="none" w:sz="0" w:space="0" w:color="auto"/>
        <w:bottom w:val="none" w:sz="0" w:space="0" w:color="auto"/>
        <w:right w:val="none" w:sz="0" w:space="0" w:color="auto"/>
      </w:divBdr>
    </w:div>
    <w:div w:id="66146939">
      <w:bodyDiv w:val="1"/>
      <w:marLeft w:val="0"/>
      <w:marRight w:val="0"/>
      <w:marTop w:val="0"/>
      <w:marBottom w:val="0"/>
      <w:divBdr>
        <w:top w:val="none" w:sz="0" w:space="0" w:color="auto"/>
        <w:left w:val="none" w:sz="0" w:space="0" w:color="auto"/>
        <w:bottom w:val="none" w:sz="0" w:space="0" w:color="auto"/>
        <w:right w:val="none" w:sz="0" w:space="0" w:color="auto"/>
      </w:divBdr>
    </w:div>
    <w:div w:id="80370592">
      <w:bodyDiv w:val="1"/>
      <w:marLeft w:val="0"/>
      <w:marRight w:val="0"/>
      <w:marTop w:val="0"/>
      <w:marBottom w:val="0"/>
      <w:divBdr>
        <w:top w:val="none" w:sz="0" w:space="0" w:color="auto"/>
        <w:left w:val="none" w:sz="0" w:space="0" w:color="auto"/>
        <w:bottom w:val="none" w:sz="0" w:space="0" w:color="auto"/>
        <w:right w:val="none" w:sz="0" w:space="0" w:color="auto"/>
      </w:divBdr>
    </w:div>
    <w:div w:id="84961830">
      <w:bodyDiv w:val="1"/>
      <w:marLeft w:val="0"/>
      <w:marRight w:val="0"/>
      <w:marTop w:val="0"/>
      <w:marBottom w:val="0"/>
      <w:divBdr>
        <w:top w:val="none" w:sz="0" w:space="0" w:color="auto"/>
        <w:left w:val="none" w:sz="0" w:space="0" w:color="auto"/>
        <w:bottom w:val="none" w:sz="0" w:space="0" w:color="auto"/>
        <w:right w:val="none" w:sz="0" w:space="0" w:color="auto"/>
      </w:divBdr>
    </w:div>
    <w:div w:id="87389454">
      <w:bodyDiv w:val="1"/>
      <w:marLeft w:val="0"/>
      <w:marRight w:val="0"/>
      <w:marTop w:val="0"/>
      <w:marBottom w:val="0"/>
      <w:divBdr>
        <w:top w:val="none" w:sz="0" w:space="0" w:color="auto"/>
        <w:left w:val="none" w:sz="0" w:space="0" w:color="auto"/>
        <w:bottom w:val="none" w:sz="0" w:space="0" w:color="auto"/>
        <w:right w:val="none" w:sz="0" w:space="0" w:color="auto"/>
      </w:divBdr>
    </w:div>
    <w:div w:id="112671260">
      <w:bodyDiv w:val="1"/>
      <w:marLeft w:val="0"/>
      <w:marRight w:val="0"/>
      <w:marTop w:val="0"/>
      <w:marBottom w:val="0"/>
      <w:divBdr>
        <w:top w:val="none" w:sz="0" w:space="0" w:color="auto"/>
        <w:left w:val="none" w:sz="0" w:space="0" w:color="auto"/>
        <w:bottom w:val="none" w:sz="0" w:space="0" w:color="auto"/>
        <w:right w:val="none" w:sz="0" w:space="0" w:color="auto"/>
      </w:divBdr>
    </w:div>
    <w:div w:id="134032578">
      <w:bodyDiv w:val="1"/>
      <w:marLeft w:val="0"/>
      <w:marRight w:val="0"/>
      <w:marTop w:val="0"/>
      <w:marBottom w:val="0"/>
      <w:divBdr>
        <w:top w:val="none" w:sz="0" w:space="0" w:color="auto"/>
        <w:left w:val="none" w:sz="0" w:space="0" w:color="auto"/>
        <w:bottom w:val="none" w:sz="0" w:space="0" w:color="auto"/>
        <w:right w:val="none" w:sz="0" w:space="0" w:color="auto"/>
      </w:divBdr>
    </w:div>
    <w:div w:id="143666071">
      <w:bodyDiv w:val="1"/>
      <w:marLeft w:val="0"/>
      <w:marRight w:val="0"/>
      <w:marTop w:val="0"/>
      <w:marBottom w:val="0"/>
      <w:divBdr>
        <w:top w:val="none" w:sz="0" w:space="0" w:color="auto"/>
        <w:left w:val="none" w:sz="0" w:space="0" w:color="auto"/>
        <w:bottom w:val="none" w:sz="0" w:space="0" w:color="auto"/>
        <w:right w:val="none" w:sz="0" w:space="0" w:color="auto"/>
      </w:divBdr>
    </w:div>
    <w:div w:id="188376935">
      <w:bodyDiv w:val="1"/>
      <w:marLeft w:val="0"/>
      <w:marRight w:val="0"/>
      <w:marTop w:val="0"/>
      <w:marBottom w:val="0"/>
      <w:divBdr>
        <w:top w:val="none" w:sz="0" w:space="0" w:color="auto"/>
        <w:left w:val="none" w:sz="0" w:space="0" w:color="auto"/>
        <w:bottom w:val="none" w:sz="0" w:space="0" w:color="auto"/>
        <w:right w:val="none" w:sz="0" w:space="0" w:color="auto"/>
      </w:divBdr>
    </w:div>
    <w:div w:id="206180789">
      <w:bodyDiv w:val="1"/>
      <w:marLeft w:val="0"/>
      <w:marRight w:val="0"/>
      <w:marTop w:val="0"/>
      <w:marBottom w:val="0"/>
      <w:divBdr>
        <w:top w:val="none" w:sz="0" w:space="0" w:color="auto"/>
        <w:left w:val="none" w:sz="0" w:space="0" w:color="auto"/>
        <w:bottom w:val="none" w:sz="0" w:space="0" w:color="auto"/>
        <w:right w:val="none" w:sz="0" w:space="0" w:color="auto"/>
      </w:divBdr>
    </w:div>
    <w:div w:id="211963146">
      <w:bodyDiv w:val="1"/>
      <w:marLeft w:val="0"/>
      <w:marRight w:val="0"/>
      <w:marTop w:val="0"/>
      <w:marBottom w:val="0"/>
      <w:divBdr>
        <w:top w:val="none" w:sz="0" w:space="0" w:color="auto"/>
        <w:left w:val="none" w:sz="0" w:space="0" w:color="auto"/>
        <w:bottom w:val="none" w:sz="0" w:space="0" w:color="auto"/>
        <w:right w:val="none" w:sz="0" w:space="0" w:color="auto"/>
      </w:divBdr>
    </w:div>
    <w:div w:id="221449742">
      <w:bodyDiv w:val="1"/>
      <w:marLeft w:val="0"/>
      <w:marRight w:val="0"/>
      <w:marTop w:val="0"/>
      <w:marBottom w:val="0"/>
      <w:divBdr>
        <w:top w:val="none" w:sz="0" w:space="0" w:color="auto"/>
        <w:left w:val="none" w:sz="0" w:space="0" w:color="auto"/>
        <w:bottom w:val="none" w:sz="0" w:space="0" w:color="auto"/>
        <w:right w:val="none" w:sz="0" w:space="0" w:color="auto"/>
      </w:divBdr>
    </w:div>
    <w:div w:id="227352332">
      <w:bodyDiv w:val="1"/>
      <w:marLeft w:val="0"/>
      <w:marRight w:val="0"/>
      <w:marTop w:val="0"/>
      <w:marBottom w:val="0"/>
      <w:divBdr>
        <w:top w:val="none" w:sz="0" w:space="0" w:color="auto"/>
        <w:left w:val="none" w:sz="0" w:space="0" w:color="auto"/>
        <w:bottom w:val="none" w:sz="0" w:space="0" w:color="auto"/>
        <w:right w:val="none" w:sz="0" w:space="0" w:color="auto"/>
      </w:divBdr>
    </w:div>
    <w:div w:id="243607685">
      <w:bodyDiv w:val="1"/>
      <w:marLeft w:val="0"/>
      <w:marRight w:val="0"/>
      <w:marTop w:val="0"/>
      <w:marBottom w:val="0"/>
      <w:divBdr>
        <w:top w:val="none" w:sz="0" w:space="0" w:color="auto"/>
        <w:left w:val="none" w:sz="0" w:space="0" w:color="auto"/>
        <w:bottom w:val="none" w:sz="0" w:space="0" w:color="auto"/>
        <w:right w:val="none" w:sz="0" w:space="0" w:color="auto"/>
      </w:divBdr>
    </w:div>
    <w:div w:id="280649930">
      <w:bodyDiv w:val="1"/>
      <w:marLeft w:val="0"/>
      <w:marRight w:val="0"/>
      <w:marTop w:val="0"/>
      <w:marBottom w:val="0"/>
      <w:divBdr>
        <w:top w:val="none" w:sz="0" w:space="0" w:color="auto"/>
        <w:left w:val="none" w:sz="0" w:space="0" w:color="auto"/>
        <w:bottom w:val="none" w:sz="0" w:space="0" w:color="auto"/>
        <w:right w:val="none" w:sz="0" w:space="0" w:color="auto"/>
      </w:divBdr>
    </w:div>
    <w:div w:id="288710731">
      <w:bodyDiv w:val="1"/>
      <w:marLeft w:val="0"/>
      <w:marRight w:val="0"/>
      <w:marTop w:val="0"/>
      <w:marBottom w:val="0"/>
      <w:divBdr>
        <w:top w:val="none" w:sz="0" w:space="0" w:color="auto"/>
        <w:left w:val="none" w:sz="0" w:space="0" w:color="auto"/>
        <w:bottom w:val="none" w:sz="0" w:space="0" w:color="auto"/>
        <w:right w:val="none" w:sz="0" w:space="0" w:color="auto"/>
      </w:divBdr>
    </w:div>
    <w:div w:id="290210810">
      <w:bodyDiv w:val="1"/>
      <w:marLeft w:val="0"/>
      <w:marRight w:val="0"/>
      <w:marTop w:val="0"/>
      <w:marBottom w:val="0"/>
      <w:divBdr>
        <w:top w:val="none" w:sz="0" w:space="0" w:color="auto"/>
        <w:left w:val="none" w:sz="0" w:space="0" w:color="auto"/>
        <w:bottom w:val="none" w:sz="0" w:space="0" w:color="auto"/>
        <w:right w:val="none" w:sz="0" w:space="0" w:color="auto"/>
      </w:divBdr>
    </w:div>
    <w:div w:id="301615666">
      <w:bodyDiv w:val="1"/>
      <w:marLeft w:val="0"/>
      <w:marRight w:val="0"/>
      <w:marTop w:val="0"/>
      <w:marBottom w:val="0"/>
      <w:divBdr>
        <w:top w:val="none" w:sz="0" w:space="0" w:color="auto"/>
        <w:left w:val="none" w:sz="0" w:space="0" w:color="auto"/>
        <w:bottom w:val="none" w:sz="0" w:space="0" w:color="auto"/>
        <w:right w:val="none" w:sz="0" w:space="0" w:color="auto"/>
      </w:divBdr>
    </w:div>
    <w:div w:id="308902078">
      <w:bodyDiv w:val="1"/>
      <w:marLeft w:val="0"/>
      <w:marRight w:val="0"/>
      <w:marTop w:val="0"/>
      <w:marBottom w:val="0"/>
      <w:divBdr>
        <w:top w:val="none" w:sz="0" w:space="0" w:color="auto"/>
        <w:left w:val="none" w:sz="0" w:space="0" w:color="auto"/>
        <w:bottom w:val="none" w:sz="0" w:space="0" w:color="auto"/>
        <w:right w:val="none" w:sz="0" w:space="0" w:color="auto"/>
      </w:divBdr>
    </w:div>
    <w:div w:id="338123532">
      <w:bodyDiv w:val="1"/>
      <w:marLeft w:val="0"/>
      <w:marRight w:val="0"/>
      <w:marTop w:val="0"/>
      <w:marBottom w:val="0"/>
      <w:divBdr>
        <w:top w:val="none" w:sz="0" w:space="0" w:color="auto"/>
        <w:left w:val="none" w:sz="0" w:space="0" w:color="auto"/>
        <w:bottom w:val="none" w:sz="0" w:space="0" w:color="auto"/>
        <w:right w:val="none" w:sz="0" w:space="0" w:color="auto"/>
      </w:divBdr>
    </w:div>
    <w:div w:id="357315874">
      <w:bodyDiv w:val="1"/>
      <w:marLeft w:val="0"/>
      <w:marRight w:val="0"/>
      <w:marTop w:val="0"/>
      <w:marBottom w:val="0"/>
      <w:divBdr>
        <w:top w:val="none" w:sz="0" w:space="0" w:color="auto"/>
        <w:left w:val="none" w:sz="0" w:space="0" w:color="auto"/>
        <w:bottom w:val="none" w:sz="0" w:space="0" w:color="auto"/>
        <w:right w:val="none" w:sz="0" w:space="0" w:color="auto"/>
      </w:divBdr>
    </w:div>
    <w:div w:id="388458661">
      <w:bodyDiv w:val="1"/>
      <w:marLeft w:val="0"/>
      <w:marRight w:val="0"/>
      <w:marTop w:val="0"/>
      <w:marBottom w:val="0"/>
      <w:divBdr>
        <w:top w:val="none" w:sz="0" w:space="0" w:color="auto"/>
        <w:left w:val="none" w:sz="0" w:space="0" w:color="auto"/>
        <w:bottom w:val="none" w:sz="0" w:space="0" w:color="auto"/>
        <w:right w:val="none" w:sz="0" w:space="0" w:color="auto"/>
      </w:divBdr>
    </w:div>
    <w:div w:id="412943158">
      <w:bodyDiv w:val="1"/>
      <w:marLeft w:val="0"/>
      <w:marRight w:val="0"/>
      <w:marTop w:val="0"/>
      <w:marBottom w:val="0"/>
      <w:divBdr>
        <w:top w:val="none" w:sz="0" w:space="0" w:color="auto"/>
        <w:left w:val="none" w:sz="0" w:space="0" w:color="auto"/>
        <w:bottom w:val="none" w:sz="0" w:space="0" w:color="auto"/>
        <w:right w:val="none" w:sz="0" w:space="0" w:color="auto"/>
      </w:divBdr>
    </w:div>
    <w:div w:id="449204396">
      <w:bodyDiv w:val="1"/>
      <w:marLeft w:val="0"/>
      <w:marRight w:val="0"/>
      <w:marTop w:val="0"/>
      <w:marBottom w:val="0"/>
      <w:divBdr>
        <w:top w:val="none" w:sz="0" w:space="0" w:color="auto"/>
        <w:left w:val="none" w:sz="0" w:space="0" w:color="auto"/>
        <w:bottom w:val="none" w:sz="0" w:space="0" w:color="auto"/>
        <w:right w:val="none" w:sz="0" w:space="0" w:color="auto"/>
      </w:divBdr>
    </w:div>
    <w:div w:id="466313581">
      <w:bodyDiv w:val="1"/>
      <w:marLeft w:val="0"/>
      <w:marRight w:val="0"/>
      <w:marTop w:val="0"/>
      <w:marBottom w:val="0"/>
      <w:divBdr>
        <w:top w:val="none" w:sz="0" w:space="0" w:color="auto"/>
        <w:left w:val="none" w:sz="0" w:space="0" w:color="auto"/>
        <w:bottom w:val="none" w:sz="0" w:space="0" w:color="auto"/>
        <w:right w:val="none" w:sz="0" w:space="0" w:color="auto"/>
      </w:divBdr>
    </w:div>
    <w:div w:id="486703080">
      <w:bodyDiv w:val="1"/>
      <w:marLeft w:val="0"/>
      <w:marRight w:val="0"/>
      <w:marTop w:val="0"/>
      <w:marBottom w:val="0"/>
      <w:divBdr>
        <w:top w:val="none" w:sz="0" w:space="0" w:color="auto"/>
        <w:left w:val="none" w:sz="0" w:space="0" w:color="auto"/>
        <w:bottom w:val="none" w:sz="0" w:space="0" w:color="auto"/>
        <w:right w:val="none" w:sz="0" w:space="0" w:color="auto"/>
      </w:divBdr>
    </w:div>
    <w:div w:id="498423143">
      <w:bodyDiv w:val="1"/>
      <w:marLeft w:val="0"/>
      <w:marRight w:val="0"/>
      <w:marTop w:val="0"/>
      <w:marBottom w:val="0"/>
      <w:divBdr>
        <w:top w:val="none" w:sz="0" w:space="0" w:color="auto"/>
        <w:left w:val="none" w:sz="0" w:space="0" w:color="auto"/>
        <w:bottom w:val="none" w:sz="0" w:space="0" w:color="auto"/>
        <w:right w:val="none" w:sz="0" w:space="0" w:color="auto"/>
      </w:divBdr>
    </w:div>
    <w:div w:id="510490673">
      <w:bodyDiv w:val="1"/>
      <w:marLeft w:val="0"/>
      <w:marRight w:val="0"/>
      <w:marTop w:val="0"/>
      <w:marBottom w:val="0"/>
      <w:divBdr>
        <w:top w:val="none" w:sz="0" w:space="0" w:color="auto"/>
        <w:left w:val="none" w:sz="0" w:space="0" w:color="auto"/>
        <w:bottom w:val="none" w:sz="0" w:space="0" w:color="auto"/>
        <w:right w:val="none" w:sz="0" w:space="0" w:color="auto"/>
      </w:divBdr>
    </w:div>
    <w:div w:id="586886206">
      <w:bodyDiv w:val="1"/>
      <w:marLeft w:val="0"/>
      <w:marRight w:val="0"/>
      <w:marTop w:val="0"/>
      <w:marBottom w:val="0"/>
      <w:divBdr>
        <w:top w:val="none" w:sz="0" w:space="0" w:color="auto"/>
        <w:left w:val="none" w:sz="0" w:space="0" w:color="auto"/>
        <w:bottom w:val="none" w:sz="0" w:space="0" w:color="auto"/>
        <w:right w:val="none" w:sz="0" w:space="0" w:color="auto"/>
      </w:divBdr>
    </w:div>
    <w:div w:id="592779926">
      <w:bodyDiv w:val="1"/>
      <w:marLeft w:val="0"/>
      <w:marRight w:val="0"/>
      <w:marTop w:val="0"/>
      <w:marBottom w:val="0"/>
      <w:divBdr>
        <w:top w:val="none" w:sz="0" w:space="0" w:color="auto"/>
        <w:left w:val="none" w:sz="0" w:space="0" w:color="auto"/>
        <w:bottom w:val="none" w:sz="0" w:space="0" w:color="auto"/>
        <w:right w:val="none" w:sz="0" w:space="0" w:color="auto"/>
      </w:divBdr>
    </w:div>
    <w:div w:id="607084472">
      <w:bodyDiv w:val="1"/>
      <w:marLeft w:val="0"/>
      <w:marRight w:val="0"/>
      <w:marTop w:val="0"/>
      <w:marBottom w:val="0"/>
      <w:divBdr>
        <w:top w:val="none" w:sz="0" w:space="0" w:color="auto"/>
        <w:left w:val="none" w:sz="0" w:space="0" w:color="auto"/>
        <w:bottom w:val="none" w:sz="0" w:space="0" w:color="auto"/>
        <w:right w:val="none" w:sz="0" w:space="0" w:color="auto"/>
      </w:divBdr>
    </w:div>
    <w:div w:id="625159284">
      <w:bodyDiv w:val="1"/>
      <w:marLeft w:val="0"/>
      <w:marRight w:val="0"/>
      <w:marTop w:val="0"/>
      <w:marBottom w:val="0"/>
      <w:divBdr>
        <w:top w:val="none" w:sz="0" w:space="0" w:color="auto"/>
        <w:left w:val="none" w:sz="0" w:space="0" w:color="auto"/>
        <w:bottom w:val="none" w:sz="0" w:space="0" w:color="auto"/>
        <w:right w:val="none" w:sz="0" w:space="0" w:color="auto"/>
      </w:divBdr>
    </w:div>
    <w:div w:id="627928447">
      <w:bodyDiv w:val="1"/>
      <w:marLeft w:val="0"/>
      <w:marRight w:val="0"/>
      <w:marTop w:val="0"/>
      <w:marBottom w:val="0"/>
      <w:divBdr>
        <w:top w:val="none" w:sz="0" w:space="0" w:color="auto"/>
        <w:left w:val="none" w:sz="0" w:space="0" w:color="auto"/>
        <w:bottom w:val="none" w:sz="0" w:space="0" w:color="auto"/>
        <w:right w:val="none" w:sz="0" w:space="0" w:color="auto"/>
      </w:divBdr>
    </w:div>
    <w:div w:id="636641403">
      <w:bodyDiv w:val="1"/>
      <w:marLeft w:val="0"/>
      <w:marRight w:val="0"/>
      <w:marTop w:val="0"/>
      <w:marBottom w:val="0"/>
      <w:divBdr>
        <w:top w:val="none" w:sz="0" w:space="0" w:color="auto"/>
        <w:left w:val="none" w:sz="0" w:space="0" w:color="auto"/>
        <w:bottom w:val="none" w:sz="0" w:space="0" w:color="auto"/>
        <w:right w:val="none" w:sz="0" w:space="0" w:color="auto"/>
      </w:divBdr>
    </w:div>
    <w:div w:id="689137662">
      <w:bodyDiv w:val="1"/>
      <w:marLeft w:val="0"/>
      <w:marRight w:val="0"/>
      <w:marTop w:val="0"/>
      <w:marBottom w:val="0"/>
      <w:divBdr>
        <w:top w:val="none" w:sz="0" w:space="0" w:color="auto"/>
        <w:left w:val="none" w:sz="0" w:space="0" w:color="auto"/>
        <w:bottom w:val="none" w:sz="0" w:space="0" w:color="auto"/>
        <w:right w:val="none" w:sz="0" w:space="0" w:color="auto"/>
      </w:divBdr>
    </w:div>
    <w:div w:id="721906633">
      <w:bodyDiv w:val="1"/>
      <w:marLeft w:val="0"/>
      <w:marRight w:val="0"/>
      <w:marTop w:val="0"/>
      <w:marBottom w:val="0"/>
      <w:divBdr>
        <w:top w:val="none" w:sz="0" w:space="0" w:color="auto"/>
        <w:left w:val="none" w:sz="0" w:space="0" w:color="auto"/>
        <w:bottom w:val="none" w:sz="0" w:space="0" w:color="auto"/>
        <w:right w:val="none" w:sz="0" w:space="0" w:color="auto"/>
      </w:divBdr>
    </w:div>
    <w:div w:id="724841437">
      <w:bodyDiv w:val="1"/>
      <w:marLeft w:val="0"/>
      <w:marRight w:val="0"/>
      <w:marTop w:val="0"/>
      <w:marBottom w:val="0"/>
      <w:divBdr>
        <w:top w:val="none" w:sz="0" w:space="0" w:color="auto"/>
        <w:left w:val="none" w:sz="0" w:space="0" w:color="auto"/>
        <w:bottom w:val="none" w:sz="0" w:space="0" w:color="auto"/>
        <w:right w:val="none" w:sz="0" w:space="0" w:color="auto"/>
      </w:divBdr>
    </w:div>
    <w:div w:id="757138468">
      <w:bodyDiv w:val="1"/>
      <w:marLeft w:val="0"/>
      <w:marRight w:val="0"/>
      <w:marTop w:val="0"/>
      <w:marBottom w:val="0"/>
      <w:divBdr>
        <w:top w:val="none" w:sz="0" w:space="0" w:color="auto"/>
        <w:left w:val="none" w:sz="0" w:space="0" w:color="auto"/>
        <w:bottom w:val="none" w:sz="0" w:space="0" w:color="auto"/>
        <w:right w:val="none" w:sz="0" w:space="0" w:color="auto"/>
      </w:divBdr>
    </w:div>
    <w:div w:id="812479963">
      <w:bodyDiv w:val="1"/>
      <w:marLeft w:val="0"/>
      <w:marRight w:val="0"/>
      <w:marTop w:val="0"/>
      <w:marBottom w:val="0"/>
      <w:divBdr>
        <w:top w:val="none" w:sz="0" w:space="0" w:color="auto"/>
        <w:left w:val="none" w:sz="0" w:space="0" w:color="auto"/>
        <w:bottom w:val="none" w:sz="0" w:space="0" w:color="auto"/>
        <w:right w:val="none" w:sz="0" w:space="0" w:color="auto"/>
      </w:divBdr>
    </w:div>
    <w:div w:id="812646898">
      <w:bodyDiv w:val="1"/>
      <w:marLeft w:val="0"/>
      <w:marRight w:val="0"/>
      <w:marTop w:val="0"/>
      <w:marBottom w:val="0"/>
      <w:divBdr>
        <w:top w:val="none" w:sz="0" w:space="0" w:color="auto"/>
        <w:left w:val="none" w:sz="0" w:space="0" w:color="auto"/>
        <w:bottom w:val="none" w:sz="0" w:space="0" w:color="auto"/>
        <w:right w:val="none" w:sz="0" w:space="0" w:color="auto"/>
      </w:divBdr>
    </w:div>
    <w:div w:id="820922997">
      <w:bodyDiv w:val="1"/>
      <w:marLeft w:val="0"/>
      <w:marRight w:val="0"/>
      <w:marTop w:val="0"/>
      <w:marBottom w:val="0"/>
      <w:divBdr>
        <w:top w:val="none" w:sz="0" w:space="0" w:color="auto"/>
        <w:left w:val="none" w:sz="0" w:space="0" w:color="auto"/>
        <w:bottom w:val="none" w:sz="0" w:space="0" w:color="auto"/>
        <w:right w:val="none" w:sz="0" w:space="0" w:color="auto"/>
      </w:divBdr>
    </w:div>
    <w:div w:id="823620100">
      <w:bodyDiv w:val="1"/>
      <w:marLeft w:val="0"/>
      <w:marRight w:val="0"/>
      <w:marTop w:val="0"/>
      <w:marBottom w:val="0"/>
      <w:divBdr>
        <w:top w:val="none" w:sz="0" w:space="0" w:color="auto"/>
        <w:left w:val="none" w:sz="0" w:space="0" w:color="auto"/>
        <w:bottom w:val="none" w:sz="0" w:space="0" w:color="auto"/>
        <w:right w:val="none" w:sz="0" w:space="0" w:color="auto"/>
      </w:divBdr>
    </w:div>
    <w:div w:id="857355538">
      <w:bodyDiv w:val="1"/>
      <w:marLeft w:val="0"/>
      <w:marRight w:val="0"/>
      <w:marTop w:val="0"/>
      <w:marBottom w:val="0"/>
      <w:divBdr>
        <w:top w:val="none" w:sz="0" w:space="0" w:color="auto"/>
        <w:left w:val="none" w:sz="0" w:space="0" w:color="auto"/>
        <w:bottom w:val="none" w:sz="0" w:space="0" w:color="auto"/>
        <w:right w:val="none" w:sz="0" w:space="0" w:color="auto"/>
      </w:divBdr>
    </w:div>
    <w:div w:id="880169660">
      <w:bodyDiv w:val="1"/>
      <w:marLeft w:val="0"/>
      <w:marRight w:val="0"/>
      <w:marTop w:val="0"/>
      <w:marBottom w:val="0"/>
      <w:divBdr>
        <w:top w:val="none" w:sz="0" w:space="0" w:color="auto"/>
        <w:left w:val="none" w:sz="0" w:space="0" w:color="auto"/>
        <w:bottom w:val="none" w:sz="0" w:space="0" w:color="auto"/>
        <w:right w:val="none" w:sz="0" w:space="0" w:color="auto"/>
      </w:divBdr>
    </w:div>
    <w:div w:id="942802416">
      <w:bodyDiv w:val="1"/>
      <w:marLeft w:val="0"/>
      <w:marRight w:val="0"/>
      <w:marTop w:val="0"/>
      <w:marBottom w:val="0"/>
      <w:divBdr>
        <w:top w:val="none" w:sz="0" w:space="0" w:color="auto"/>
        <w:left w:val="none" w:sz="0" w:space="0" w:color="auto"/>
        <w:bottom w:val="none" w:sz="0" w:space="0" w:color="auto"/>
        <w:right w:val="none" w:sz="0" w:space="0" w:color="auto"/>
      </w:divBdr>
    </w:div>
    <w:div w:id="943657219">
      <w:bodyDiv w:val="1"/>
      <w:marLeft w:val="0"/>
      <w:marRight w:val="0"/>
      <w:marTop w:val="0"/>
      <w:marBottom w:val="0"/>
      <w:divBdr>
        <w:top w:val="none" w:sz="0" w:space="0" w:color="auto"/>
        <w:left w:val="none" w:sz="0" w:space="0" w:color="auto"/>
        <w:bottom w:val="none" w:sz="0" w:space="0" w:color="auto"/>
        <w:right w:val="none" w:sz="0" w:space="0" w:color="auto"/>
      </w:divBdr>
    </w:div>
    <w:div w:id="944075369">
      <w:bodyDiv w:val="1"/>
      <w:marLeft w:val="0"/>
      <w:marRight w:val="0"/>
      <w:marTop w:val="0"/>
      <w:marBottom w:val="0"/>
      <w:divBdr>
        <w:top w:val="none" w:sz="0" w:space="0" w:color="auto"/>
        <w:left w:val="none" w:sz="0" w:space="0" w:color="auto"/>
        <w:bottom w:val="none" w:sz="0" w:space="0" w:color="auto"/>
        <w:right w:val="none" w:sz="0" w:space="0" w:color="auto"/>
      </w:divBdr>
    </w:div>
    <w:div w:id="945386271">
      <w:bodyDiv w:val="1"/>
      <w:marLeft w:val="0"/>
      <w:marRight w:val="0"/>
      <w:marTop w:val="0"/>
      <w:marBottom w:val="0"/>
      <w:divBdr>
        <w:top w:val="none" w:sz="0" w:space="0" w:color="auto"/>
        <w:left w:val="none" w:sz="0" w:space="0" w:color="auto"/>
        <w:bottom w:val="none" w:sz="0" w:space="0" w:color="auto"/>
        <w:right w:val="none" w:sz="0" w:space="0" w:color="auto"/>
      </w:divBdr>
    </w:div>
    <w:div w:id="955259709">
      <w:bodyDiv w:val="1"/>
      <w:marLeft w:val="0"/>
      <w:marRight w:val="0"/>
      <w:marTop w:val="0"/>
      <w:marBottom w:val="0"/>
      <w:divBdr>
        <w:top w:val="none" w:sz="0" w:space="0" w:color="auto"/>
        <w:left w:val="none" w:sz="0" w:space="0" w:color="auto"/>
        <w:bottom w:val="none" w:sz="0" w:space="0" w:color="auto"/>
        <w:right w:val="none" w:sz="0" w:space="0" w:color="auto"/>
      </w:divBdr>
    </w:div>
    <w:div w:id="976763347">
      <w:bodyDiv w:val="1"/>
      <w:marLeft w:val="0"/>
      <w:marRight w:val="0"/>
      <w:marTop w:val="0"/>
      <w:marBottom w:val="0"/>
      <w:divBdr>
        <w:top w:val="none" w:sz="0" w:space="0" w:color="auto"/>
        <w:left w:val="none" w:sz="0" w:space="0" w:color="auto"/>
        <w:bottom w:val="none" w:sz="0" w:space="0" w:color="auto"/>
        <w:right w:val="none" w:sz="0" w:space="0" w:color="auto"/>
      </w:divBdr>
    </w:div>
    <w:div w:id="1023282764">
      <w:bodyDiv w:val="1"/>
      <w:marLeft w:val="0"/>
      <w:marRight w:val="0"/>
      <w:marTop w:val="0"/>
      <w:marBottom w:val="0"/>
      <w:divBdr>
        <w:top w:val="none" w:sz="0" w:space="0" w:color="auto"/>
        <w:left w:val="none" w:sz="0" w:space="0" w:color="auto"/>
        <w:bottom w:val="none" w:sz="0" w:space="0" w:color="auto"/>
        <w:right w:val="none" w:sz="0" w:space="0" w:color="auto"/>
      </w:divBdr>
    </w:div>
    <w:div w:id="1031301531">
      <w:bodyDiv w:val="1"/>
      <w:marLeft w:val="0"/>
      <w:marRight w:val="0"/>
      <w:marTop w:val="0"/>
      <w:marBottom w:val="0"/>
      <w:divBdr>
        <w:top w:val="none" w:sz="0" w:space="0" w:color="auto"/>
        <w:left w:val="none" w:sz="0" w:space="0" w:color="auto"/>
        <w:bottom w:val="none" w:sz="0" w:space="0" w:color="auto"/>
        <w:right w:val="none" w:sz="0" w:space="0" w:color="auto"/>
      </w:divBdr>
    </w:div>
    <w:div w:id="1080373255">
      <w:bodyDiv w:val="1"/>
      <w:marLeft w:val="0"/>
      <w:marRight w:val="0"/>
      <w:marTop w:val="0"/>
      <w:marBottom w:val="0"/>
      <w:divBdr>
        <w:top w:val="none" w:sz="0" w:space="0" w:color="auto"/>
        <w:left w:val="none" w:sz="0" w:space="0" w:color="auto"/>
        <w:bottom w:val="none" w:sz="0" w:space="0" w:color="auto"/>
        <w:right w:val="none" w:sz="0" w:space="0" w:color="auto"/>
      </w:divBdr>
    </w:div>
    <w:div w:id="1091319613">
      <w:bodyDiv w:val="1"/>
      <w:marLeft w:val="0"/>
      <w:marRight w:val="0"/>
      <w:marTop w:val="0"/>
      <w:marBottom w:val="0"/>
      <w:divBdr>
        <w:top w:val="none" w:sz="0" w:space="0" w:color="auto"/>
        <w:left w:val="none" w:sz="0" w:space="0" w:color="auto"/>
        <w:bottom w:val="none" w:sz="0" w:space="0" w:color="auto"/>
        <w:right w:val="none" w:sz="0" w:space="0" w:color="auto"/>
      </w:divBdr>
    </w:div>
    <w:div w:id="1101880608">
      <w:bodyDiv w:val="1"/>
      <w:marLeft w:val="0"/>
      <w:marRight w:val="0"/>
      <w:marTop w:val="0"/>
      <w:marBottom w:val="0"/>
      <w:divBdr>
        <w:top w:val="none" w:sz="0" w:space="0" w:color="auto"/>
        <w:left w:val="none" w:sz="0" w:space="0" w:color="auto"/>
        <w:bottom w:val="none" w:sz="0" w:space="0" w:color="auto"/>
        <w:right w:val="none" w:sz="0" w:space="0" w:color="auto"/>
      </w:divBdr>
    </w:div>
    <w:div w:id="1116093975">
      <w:bodyDiv w:val="1"/>
      <w:marLeft w:val="0"/>
      <w:marRight w:val="0"/>
      <w:marTop w:val="0"/>
      <w:marBottom w:val="0"/>
      <w:divBdr>
        <w:top w:val="none" w:sz="0" w:space="0" w:color="auto"/>
        <w:left w:val="none" w:sz="0" w:space="0" w:color="auto"/>
        <w:bottom w:val="none" w:sz="0" w:space="0" w:color="auto"/>
        <w:right w:val="none" w:sz="0" w:space="0" w:color="auto"/>
      </w:divBdr>
    </w:div>
    <w:div w:id="1119029789">
      <w:bodyDiv w:val="1"/>
      <w:marLeft w:val="0"/>
      <w:marRight w:val="0"/>
      <w:marTop w:val="0"/>
      <w:marBottom w:val="0"/>
      <w:divBdr>
        <w:top w:val="none" w:sz="0" w:space="0" w:color="auto"/>
        <w:left w:val="none" w:sz="0" w:space="0" w:color="auto"/>
        <w:bottom w:val="none" w:sz="0" w:space="0" w:color="auto"/>
        <w:right w:val="none" w:sz="0" w:space="0" w:color="auto"/>
      </w:divBdr>
    </w:div>
    <w:div w:id="1138230789">
      <w:bodyDiv w:val="1"/>
      <w:marLeft w:val="0"/>
      <w:marRight w:val="0"/>
      <w:marTop w:val="0"/>
      <w:marBottom w:val="0"/>
      <w:divBdr>
        <w:top w:val="none" w:sz="0" w:space="0" w:color="auto"/>
        <w:left w:val="none" w:sz="0" w:space="0" w:color="auto"/>
        <w:bottom w:val="none" w:sz="0" w:space="0" w:color="auto"/>
        <w:right w:val="none" w:sz="0" w:space="0" w:color="auto"/>
      </w:divBdr>
    </w:div>
    <w:div w:id="1179395137">
      <w:bodyDiv w:val="1"/>
      <w:marLeft w:val="0"/>
      <w:marRight w:val="0"/>
      <w:marTop w:val="0"/>
      <w:marBottom w:val="0"/>
      <w:divBdr>
        <w:top w:val="none" w:sz="0" w:space="0" w:color="auto"/>
        <w:left w:val="none" w:sz="0" w:space="0" w:color="auto"/>
        <w:bottom w:val="none" w:sz="0" w:space="0" w:color="auto"/>
        <w:right w:val="none" w:sz="0" w:space="0" w:color="auto"/>
      </w:divBdr>
    </w:div>
    <w:div w:id="1180579815">
      <w:bodyDiv w:val="1"/>
      <w:marLeft w:val="0"/>
      <w:marRight w:val="0"/>
      <w:marTop w:val="0"/>
      <w:marBottom w:val="0"/>
      <w:divBdr>
        <w:top w:val="none" w:sz="0" w:space="0" w:color="auto"/>
        <w:left w:val="none" w:sz="0" w:space="0" w:color="auto"/>
        <w:bottom w:val="none" w:sz="0" w:space="0" w:color="auto"/>
        <w:right w:val="none" w:sz="0" w:space="0" w:color="auto"/>
      </w:divBdr>
    </w:div>
    <w:div w:id="1183737879">
      <w:bodyDiv w:val="1"/>
      <w:marLeft w:val="0"/>
      <w:marRight w:val="0"/>
      <w:marTop w:val="0"/>
      <w:marBottom w:val="0"/>
      <w:divBdr>
        <w:top w:val="none" w:sz="0" w:space="0" w:color="auto"/>
        <w:left w:val="none" w:sz="0" w:space="0" w:color="auto"/>
        <w:bottom w:val="none" w:sz="0" w:space="0" w:color="auto"/>
        <w:right w:val="none" w:sz="0" w:space="0" w:color="auto"/>
      </w:divBdr>
    </w:div>
    <w:div w:id="1197504060">
      <w:bodyDiv w:val="1"/>
      <w:marLeft w:val="0"/>
      <w:marRight w:val="0"/>
      <w:marTop w:val="0"/>
      <w:marBottom w:val="0"/>
      <w:divBdr>
        <w:top w:val="none" w:sz="0" w:space="0" w:color="auto"/>
        <w:left w:val="none" w:sz="0" w:space="0" w:color="auto"/>
        <w:bottom w:val="none" w:sz="0" w:space="0" w:color="auto"/>
        <w:right w:val="none" w:sz="0" w:space="0" w:color="auto"/>
      </w:divBdr>
    </w:div>
    <w:div w:id="1242714227">
      <w:bodyDiv w:val="1"/>
      <w:marLeft w:val="0"/>
      <w:marRight w:val="0"/>
      <w:marTop w:val="0"/>
      <w:marBottom w:val="0"/>
      <w:divBdr>
        <w:top w:val="none" w:sz="0" w:space="0" w:color="auto"/>
        <w:left w:val="none" w:sz="0" w:space="0" w:color="auto"/>
        <w:bottom w:val="none" w:sz="0" w:space="0" w:color="auto"/>
        <w:right w:val="none" w:sz="0" w:space="0" w:color="auto"/>
      </w:divBdr>
    </w:div>
    <w:div w:id="1244222034">
      <w:bodyDiv w:val="1"/>
      <w:marLeft w:val="0"/>
      <w:marRight w:val="0"/>
      <w:marTop w:val="0"/>
      <w:marBottom w:val="0"/>
      <w:divBdr>
        <w:top w:val="none" w:sz="0" w:space="0" w:color="auto"/>
        <w:left w:val="none" w:sz="0" w:space="0" w:color="auto"/>
        <w:bottom w:val="none" w:sz="0" w:space="0" w:color="auto"/>
        <w:right w:val="none" w:sz="0" w:space="0" w:color="auto"/>
      </w:divBdr>
    </w:div>
    <w:div w:id="1250310720">
      <w:bodyDiv w:val="1"/>
      <w:marLeft w:val="0"/>
      <w:marRight w:val="0"/>
      <w:marTop w:val="0"/>
      <w:marBottom w:val="0"/>
      <w:divBdr>
        <w:top w:val="none" w:sz="0" w:space="0" w:color="auto"/>
        <w:left w:val="none" w:sz="0" w:space="0" w:color="auto"/>
        <w:bottom w:val="none" w:sz="0" w:space="0" w:color="auto"/>
        <w:right w:val="none" w:sz="0" w:space="0" w:color="auto"/>
      </w:divBdr>
    </w:div>
    <w:div w:id="1269462980">
      <w:bodyDiv w:val="1"/>
      <w:marLeft w:val="0"/>
      <w:marRight w:val="0"/>
      <w:marTop w:val="0"/>
      <w:marBottom w:val="0"/>
      <w:divBdr>
        <w:top w:val="none" w:sz="0" w:space="0" w:color="auto"/>
        <w:left w:val="none" w:sz="0" w:space="0" w:color="auto"/>
        <w:bottom w:val="none" w:sz="0" w:space="0" w:color="auto"/>
        <w:right w:val="none" w:sz="0" w:space="0" w:color="auto"/>
      </w:divBdr>
    </w:div>
    <w:div w:id="1295326819">
      <w:bodyDiv w:val="1"/>
      <w:marLeft w:val="0"/>
      <w:marRight w:val="0"/>
      <w:marTop w:val="0"/>
      <w:marBottom w:val="0"/>
      <w:divBdr>
        <w:top w:val="none" w:sz="0" w:space="0" w:color="auto"/>
        <w:left w:val="none" w:sz="0" w:space="0" w:color="auto"/>
        <w:bottom w:val="none" w:sz="0" w:space="0" w:color="auto"/>
        <w:right w:val="none" w:sz="0" w:space="0" w:color="auto"/>
      </w:divBdr>
    </w:div>
    <w:div w:id="1399939624">
      <w:bodyDiv w:val="1"/>
      <w:marLeft w:val="0"/>
      <w:marRight w:val="0"/>
      <w:marTop w:val="0"/>
      <w:marBottom w:val="0"/>
      <w:divBdr>
        <w:top w:val="none" w:sz="0" w:space="0" w:color="auto"/>
        <w:left w:val="none" w:sz="0" w:space="0" w:color="auto"/>
        <w:bottom w:val="none" w:sz="0" w:space="0" w:color="auto"/>
        <w:right w:val="none" w:sz="0" w:space="0" w:color="auto"/>
      </w:divBdr>
    </w:div>
    <w:div w:id="1437022156">
      <w:bodyDiv w:val="1"/>
      <w:marLeft w:val="0"/>
      <w:marRight w:val="0"/>
      <w:marTop w:val="0"/>
      <w:marBottom w:val="0"/>
      <w:divBdr>
        <w:top w:val="none" w:sz="0" w:space="0" w:color="auto"/>
        <w:left w:val="none" w:sz="0" w:space="0" w:color="auto"/>
        <w:bottom w:val="none" w:sz="0" w:space="0" w:color="auto"/>
        <w:right w:val="none" w:sz="0" w:space="0" w:color="auto"/>
      </w:divBdr>
    </w:div>
    <w:div w:id="1447045055">
      <w:bodyDiv w:val="1"/>
      <w:marLeft w:val="0"/>
      <w:marRight w:val="0"/>
      <w:marTop w:val="0"/>
      <w:marBottom w:val="0"/>
      <w:divBdr>
        <w:top w:val="none" w:sz="0" w:space="0" w:color="auto"/>
        <w:left w:val="none" w:sz="0" w:space="0" w:color="auto"/>
        <w:bottom w:val="none" w:sz="0" w:space="0" w:color="auto"/>
        <w:right w:val="none" w:sz="0" w:space="0" w:color="auto"/>
      </w:divBdr>
    </w:div>
    <w:div w:id="1465809493">
      <w:bodyDiv w:val="1"/>
      <w:marLeft w:val="0"/>
      <w:marRight w:val="0"/>
      <w:marTop w:val="0"/>
      <w:marBottom w:val="0"/>
      <w:divBdr>
        <w:top w:val="none" w:sz="0" w:space="0" w:color="auto"/>
        <w:left w:val="none" w:sz="0" w:space="0" w:color="auto"/>
        <w:bottom w:val="none" w:sz="0" w:space="0" w:color="auto"/>
        <w:right w:val="none" w:sz="0" w:space="0" w:color="auto"/>
      </w:divBdr>
    </w:div>
    <w:div w:id="1465922675">
      <w:bodyDiv w:val="1"/>
      <w:marLeft w:val="0"/>
      <w:marRight w:val="0"/>
      <w:marTop w:val="0"/>
      <w:marBottom w:val="0"/>
      <w:divBdr>
        <w:top w:val="none" w:sz="0" w:space="0" w:color="auto"/>
        <w:left w:val="none" w:sz="0" w:space="0" w:color="auto"/>
        <w:bottom w:val="none" w:sz="0" w:space="0" w:color="auto"/>
        <w:right w:val="none" w:sz="0" w:space="0" w:color="auto"/>
      </w:divBdr>
    </w:div>
    <w:div w:id="1479032486">
      <w:bodyDiv w:val="1"/>
      <w:marLeft w:val="0"/>
      <w:marRight w:val="0"/>
      <w:marTop w:val="0"/>
      <w:marBottom w:val="0"/>
      <w:divBdr>
        <w:top w:val="none" w:sz="0" w:space="0" w:color="auto"/>
        <w:left w:val="none" w:sz="0" w:space="0" w:color="auto"/>
        <w:bottom w:val="none" w:sz="0" w:space="0" w:color="auto"/>
        <w:right w:val="none" w:sz="0" w:space="0" w:color="auto"/>
      </w:divBdr>
    </w:div>
    <w:div w:id="1493637528">
      <w:bodyDiv w:val="1"/>
      <w:marLeft w:val="0"/>
      <w:marRight w:val="0"/>
      <w:marTop w:val="0"/>
      <w:marBottom w:val="0"/>
      <w:divBdr>
        <w:top w:val="none" w:sz="0" w:space="0" w:color="auto"/>
        <w:left w:val="none" w:sz="0" w:space="0" w:color="auto"/>
        <w:bottom w:val="none" w:sz="0" w:space="0" w:color="auto"/>
        <w:right w:val="none" w:sz="0" w:space="0" w:color="auto"/>
      </w:divBdr>
    </w:div>
    <w:div w:id="1526746527">
      <w:bodyDiv w:val="1"/>
      <w:marLeft w:val="0"/>
      <w:marRight w:val="0"/>
      <w:marTop w:val="0"/>
      <w:marBottom w:val="0"/>
      <w:divBdr>
        <w:top w:val="none" w:sz="0" w:space="0" w:color="auto"/>
        <w:left w:val="none" w:sz="0" w:space="0" w:color="auto"/>
        <w:bottom w:val="none" w:sz="0" w:space="0" w:color="auto"/>
        <w:right w:val="none" w:sz="0" w:space="0" w:color="auto"/>
      </w:divBdr>
    </w:div>
    <w:div w:id="1586694909">
      <w:bodyDiv w:val="1"/>
      <w:marLeft w:val="0"/>
      <w:marRight w:val="0"/>
      <w:marTop w:val="0"/>
      <w:marBottom w:val="0"/>
      <w:divBdr>
        <w:top w:val="none" w:sz="0" w:space="0" w:color="auto"/>
        <w:left w:val="none" w:sz="0" w:space="0" w:color="auto"/>
        <w:bottom w:val="none" w:sz="0" w:space="0" w:color="auto"/>
        <w:right w:val="none" w:sz="0" w:space="0" w:color="auto"/>
      </w:divBdr>
    </w:div>
    <w:div w:id="1621643977">
      <w:bodyDiv w:val="1"/>
      <w:marLeft w:val="0"/>
      <w:marRight w:val="0"/>
      <w:marTop w:val="0"/>
      <w:marBottom w:val="0"/>
      <w:divBdr>
        <w:top w:val="none" w:sz="0" w:space="0" w:color="auto"/>
        <w:left w:val="none" w:sz="0" w:space="0" w:color="auto"/>
        <w:bottom w:val="none" w:sz="0" w:space="0" w:color="auto"/>
        <w:right w:val="none" w:sz="0" w:space="0" w:color="auto"/>
      </w:divBdr>
    </w:div>
    <w:div w:id="1653749021">
      <w:bodyDiv w:val="1"/>
      <w:marLeft w:val="0"/>
      <w:marRight w:val="0"/>
      <w:marTop w:val="0"/>
      <w:marBottom w:val="0"/>
      <w:divBdr>
        <w:top w:val="none" w:sz="0" w:space="0" w:color="auto"/>
        <w:left w:val="none" w:sz="0" w:space="0" w:color="auto"/>
        <w:bottom w:val="none" w:sz="0" w:space="0" w:color="auto"/>
        <w:right w:val="none" w:sz="0" w:space="0" w:color="auto"/>
      </w:divBdr>
    </w:div>
    <w:div w:id="1743483155">
      <w:bodyDiv w:val="1"/>
      <w:marLeft w:val="0"/>
      <w:marRight w:val="0"/>
      <w:marTop w:val="0"/>
      <w:marBottom w:val="0"/>
      <w:divBdr>
        <w:top w:val="none" w:sz="0" w:space="0" w:color="auto"/>
        <w:left w:val="none" w:sz="0" w:space="0" w:color="auto"/>
        <w:bottom w:val="none" w:sz="0" w:space="0" w:color="auto"/>
        <w:right w:val="none" w:sz="0" w:space="0" w:color="auto"/>
      </w:divBdr>
    </w:div>
    <w:div w:id="1745760779">
      <w:bodyDiv w:val="1"/>
      <w:marLeft w:val="0"/>
      <w:marRight w:val="0"/>
      <w:marTop w:val="0"/>
      <w:marBottom w:val="0"/>
      <w:divBdr>
        <w:top w:val="none" w:sz="0" w:space="0" w:color="auto"/>
        <w:left w:val="none" w:sz="0" w:space="0" w:color="auto"/>
        <w:bottom w:val="none" w:sz="0" w:space="0" w:color="auto"/>
        <w:right w:val="none" w:sz="0" w:space="0" w:color="auto"/>
      </w:divBdr>
    </w:div>
    <w:div w:id="1780762100">
      <w:bodyDiv w:val="1"/>
      <w:marLeft w:val="0"/>
      <w:marRight w:val="0"/>
      <w:marTop w:val="0"/>
      <w:marBottom w:val="0"/>
      <w:divBdr>
        <w:top w:val="none" w:sz="0" w:space="0" w:color="auto"/>
        <w:left w:val="none" w:sz="0" w:space="0" w:color="auto"/>
        <w:bottom w:val="none" w:sz="0" w:space="0" w:color="auto"/>
        <w:right w:val="none" w:sz="0" w:space="0" w:color="auto"/>
      </w:divBdr>
    </w:div>
    <w:div w:id="1796370137">
      <w:bodyDiv w:val="1"/>
      <w:marLeft w:val="0"/>
      <w:marRight w:val="0"/>
      <w:marTop w:val="0"/>
      <w:marBottom w:val="0"/>
      <w:divBdr>
        <w:top w:val="none" w:sz="0" w:space="0" w:color="auto"/>
        <w:left w:val="none" w:sz="0" w:space="0" w:color="auto"/>
        <w:bottom w:val="none" w:sz="0" w:space="0" w:color="auto"/>
        <w:right w:val="none" w:sz="0" w:space="0" w:color="auto"/>
      </w:divBdr>
    </w:div>
    <w:div w:id="1824420145">
      <w:bodyDiv w:val="1"/>
      <w:marLeft w:val="0"/>
      <w:marRight w:val="0"/>
      <w:marTop w:val="0"/>
      <w:marBottom w:val="0"/>
      <w:divBdr>
        <w:top w:val="none" w:sz="0" w:space="0" w:color="auto"/>
        <w:left w:val="none" w:sz="0" w:space="0" w:color="auto"/>
        <w:bottom w:val="none" w:sz="0" w:space="0" w:color="auto"/>
        <w:right w:val="none" w:sz="0" w:space="0" w:color="auto"/>
      </w:divBdr>
    </w:div>
    <w:div w:id="1867133225">
      <w:bodyDiv w:val="1"/>
      <w:marLeft w:val="0"/>
      <w:marRight w:val="0"/>
      <w:marTop w:val="0"/>
      <w:marBottom w:val="0"/>
      <w:divBdr>
        <w:top w:val="none" w:sz="0" w:space="0" w:color="auto"/>
        <w:left w:val="none" w:sz="0" w:space="0" w:color="auto"/>
        <w:bottom w:val="none" w:sz="0" w:space="0" w:color="auto"/>
        <w:right w:val="none" w:sz="0" w:space="0" w:color="auto"/>
      </w:divBdr>
    </w:div>
    <w:div w:id="1869836157">
      <w:bodyDiv w:val="1"/>
      <w:marLeft w:val="0"/>
      <w:marRight w:val="0"/>
      <w:marTop w:val="0"/>
      <w:marBottom w:val="0"/>
      <w:divBdr>
        <w:top w:val="none" w:sz="0" w:space="0" w:color="auto"/>
        <w:left w:val="none" w:sz="0" w:space="0" w:color="auto"/>
        <w:bottom w:val="none" w:sz="0" w:space="0" w:color="auto"/>
        <w:right w:val="none" w:sz="0" w:space="0" w:color="auto"/>
      </w:divBdr>
    </w:div>
    <w:div w:id="1888955710">
      <w:bodyDiv w:val="1"/>
      <w:marLeft w:val="0"/>
      <w:marRight w:val="0"/>
      <w:marTop w:val="0"/>
      <w:marBottom w:val="0"/>
      <w:divBdr>
        <w:top w:val="none" w:sz="0" w:space="0" w:color="auto"/>
        <w:left w:val="none" w:sz="0" w:space="0" w:color="auto"/>
        <w:bottom w:val="none" w:sz="0" w:space="0" w:color="auto"/>
        <w:right w:val="none" w:sz="0" w:space="0" w:color="auto"/>
      </w:divBdr>
    </w:div>
    <w:div w:id="1900245411">
      <w:bodyDiv w:val="1"/>
      <w:marLeft w:val="0"/>
      <w:marRight w:val="0"/>
      <w:marTop w:val="0"/>
      <w:marBottom w:val="0"/>
      <w:divBdr>
        <w:top w:val="none" w:sz="0" w:space="0" w:color="auto"/>
        <w:left w:val="none" w:sz="0" w:space="0" w:color="auto"/>
        <w:bottom w:val="none" w:sz="0" w:space="0" w:color="auto"/>
        <w:right w:val="none" w:sz="0" w:space="0" w:color="auto"/>
      </w:divBdr>
    </w:div>
    <w:div w:id="1913656894">
      <w:bodyDiv w:val="1"/>
      <w:marLeft w:val="0"/>
      <w:marRight w:val="0"/>
      <w:marTop w:val="0"/>
      <w:marBottom w:val="0"/>
      <w:divBdr>
        <w:top w:val="none" w:sz="0" w:space="0" w:color="auto"/>
        <w:left w:val="none" w:sz="0" w:space="0" w:color="auto"/>
        <w:bottom w:val="none" w:sz="0" w:space="0" w:color="auto"/>
        <w:right w:val="none" w:sz="0" w:space="0" w:color="auto"/>
      </w:divBdr>
    </w:div>
    <w:div w:id="1940016407">
      <w:bodyDiv w:val="1"/>
      <w:marLeft w:val="0"/>
      <w:marRight w:val="0"/>
      <w:marTop w:val="0"/>
      <w:marBottom w:val="0"/>
      <w:divBdr>
        <w:top w:val="none" w:sz="0" w:space="0" w:color="auto"/>
        <w:left w:val="none" w:sz="0" w:space="0" w:color="auto"/>
        <w:bottom w:val="none" w:sz="0" w:space="0" w:color="auto"/>
        <w:right w:val="none" w:sz="0" w:space="0" w:color="auto"/>
      </w:divBdr>
    </w:div>
    <w:div w:id="1947274411">
      <w:bodyDiv w:val="1"/>
      <w:marLeft w:val="0"/>
      <w:marRight w:val="0"/>
      <w:marTop w:val="0"/>
      <w:marBottom w:val="0"/>
      <w:divBdr>
        <w:top w:val="none" w:sz="0" w:space="0" w:color="auto"/>
        <w:left w:val="none" w:sz="0" w:space="0" w:color="auto"/>
        <w:bottom w:val="none" w:sz="0" w:space="0" w:color="auto"/>
        <w:right w:val="none" w:sz="0" w:space="0" w:color="auto"/>
      </w:divBdr>
    </w:div>
    <w:div w:id="1962228273">
      <w:bodyDiv w:val="1"/>
      <w:marLeft w:val="0"/>
      <w:marRight w:val="0"/>
      <w:marTop w:val="0"/>
      <w:marBottom w:val="0"/>
      <w:divBdr>
        <w:top w:val="none" w:sz="0" w:space="0" w:color="auto"/>
        <w:left w:val="none" w:sz="0" w:space="0" w:color="auto"/>
        <w:bottom w:val="none" w:sz="0" w:space="0" w:color="auto"/>
        <w:right w:val="none" w:sz="0" w:space="0" w:color="auto"/>
      </w:divBdr>
    </w:div>
    <w:div w:id="1964844870">
      <w:bodyDiv w:val="1"/>
      <w:marLeft w:val="0"/>
      <w:marRight w:val="0"/>
      <w:marTop w:val="0"/>
      <w:marBottom w:val="0"/>
      <w:divBdr>
        <w:top w:val="none" w:sz="0" w:space="0" w:color="auto"/>
        <w:left w:val="none" w:sz="0" w:space="0" w:color="auto"/>
        <w:bottom w:val="none" w:sz="0" w:space="0" w:color="auto"/>
        <w:right w:val="none" w:sz="0" w:space="0" w:color="auto"/>
      </w:divBdr>
    </w:div>
    <w:div w:id="2027439254">
      <w:bodyDiv w:val="1"/>
      <w:marLeft w:val="0"/>
      <w:marRight w:val="0"/>
      <w:marTop w:val="0"/>
      <w:marBottom w:val="0"/>
      <w:divBdr>
        <w:top w:val="none" w:sz="0" w:space="0" w:color="auto"/>
        <w:left w:val="none" w:sz="0" w:space="0" w:color="auto"/>
        <w:bottom w:val="none" w:sz="0" w:space="0" w:color="auto"/>
        <w:right w:val="none" w:sz="0" w:space="0" w:color="auto"/>
      </w:divBdr>
    </w:div>
    <w:div w:id="2050831947">
      <w:bodyDiv w:val="1"/>
      <w:marLeft w:val="0"/>
      <w:marRight w:val="0"/>
      <w:marTop w:val="0"/>
      <w:marBottom w:val="0"/>
      <w:divBdr>
        <w:top w:val="none" w:sz="0" w:space="0" w:color="auto"/>
        <w:left w:val="none" w:sz="0" w:space="0" w:color="auto"/>
        <w:bottom w:val="none" w:sz="0" w:space="0" w:color="auto"/>
        <w:right w:val="none" w:sz="0" w:space="0" w:color="auto"/>
      </w:divBdr>
    </w:div>
    <w:div w:id="2053384798">
      <w:bodyDiv w:val="1"/>
      <w:marLeft w:val="0"/>
      <w:marRight w:val="0"/>
      <w:marTop w:val="0"/>
      <w:marBottom w:val="0"/>
      <w:divBdr>
        <w:top w:val="none" w:sz="0" w:space="0" w:color="auto"/>
        <w:left w:val="none" w:sz="0" w:space="0" w:color="auto"/>
        <w:bottom w:val="none" w:sz="0" w:space="0" w:color="auto"/>
        <w:right w:val="none" w:sz="0" w:space="0" w:color="auto"/>
      </w:divBdr>
    </w:div>
    <w:div w:id="2058622091">
      <w:bodyDiv w:val="1"/>
      <w:marLeft w:val="0"/>
      <w:marRight w:val="0"/>
      <w:marTop w:val="0"/>
      <w:marBottom w:val="0"/>
      <w:divBdr>
        <w:top w:val="none" w:sz="0" w:space="0" w:color="auto"/>
        <w:left w:val="none" w:sz="0" w:space="0" w:color="auto"/>
        <w:bottom w:val="none" w:sz="0" w:space="0" w:color="auto"/>
        <w:right w:val="none" w:sz="0" w:space="0" w:color="auto"/>
      </w:divBdr>
    </w:div>
    <w:div w:id="2064475891">
      <w:bodyDiv w:val="1"/>
      <w:marLeft w:val="0"/>
      <w:marRight w:val="0"/>
      <w:marTop w:val="0"/>
      <w:marBottom w:val="0"/>
      <w:divBdr>
        <w:top w:val="none" w:sz="0" w:space="0" w:color="auto"/>
        <w:left w:val="none" w:sz="0" w:space="0" w:color="auto"/>
        <w:bottom w:val="none" w:sz="0" w:space="0" w:color="auto"/>
        <w:right w:val="none" w:sz="0" w:space="0" w:color="auto"/>
      </w:divBdr>
    </w:div>
    <w:div w:id="2071809665">
      <w:bodyDiv w:val="1"/>
      <w:marLeft w:val="0"/>
      <w:marRight w:val="0"/>
      <w:marTop w:val="0"/>
      <w:marBottom w:val="0"/>
      <w:divBdr>
        <w:top w:val="none" w:sz="0" w:space="0" w:color="auto"/>
        <w:left w:val="none" w:sz="0" w:space="0" w:color="auto"/>
        <w:bottom w:val="none" w:sz="0" w:space="0" w:color="auto"/>
        <w:right w:val="none" w:sz="0" w:space="0" w:color="auto"/>
      </w:divBdr>
    </w:div>
    <w:div w:id="20787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Posizione_dominant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wikipedia.org/wiki/Pubblicit%C3%A0_ingannevo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Clausola_vessator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wikipedia.org/wiki/Pratiche_commerciali_scorrette" TargetMode="External"/><Relationship Id="rId4" Type="http://schemas.openxmlformats.org/officeDocument/2006/relationships/settings" Target="settings.xml"/><Relationship Id="rId9" Type="http://schemas.openxmlformats.org/officeDocument/2006/relationships/hyperlink" Target="https://it.wikipedia.org/wiki/Tutela_del_consumatore"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A915-7844-4B51-8E53-D650FF6F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7516</Words>
  <Characters>42842</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50258</CharactersWithSpaces>
  <SharedDoc>false</SharedDoc>
  <HLinks>
    <vt:vector size="30" baseType="variant">
      <vt:variant>
        <vt:i4>7536653</vt:i4>
      </vt:variant>
      <vt:variant>
        <vt:i4>12</vt:i4>
      </vt:variant>
      <vt:variant>
        <vt:i4>0</vt:i4>
      </vt:variant>
      <vt:variant>
        <vt:i4>5</vt:i4>
      </vt:variant>
      <vt:variant>
        <vt:lpwstr>https://it.wikipedia.org/wiki/Pubblicit%C3%A0_ingannevole</vt:lpwstr>
      </vt:variant>
      <vt:variant>
        <vt:lpwstr/>
      </vt:variant>
      <vt:variant>
        <vt:i4>4325418</vt:i4>
      </vt:variant>
      <vt:variant>
        <vt:i4>9</vt:i4>
      </vt:variant>
      <vt:variant>
        <vt:i4>0</vt:i4>
      </vt:variant>
      <vt:variant>
        <vt:i4>5</vt:i4>
      </vt:variant>
      <vt:variant>
        <vt:lpwstr>https://it.wikipedia.org/wiki/Clausola_vessatoria</vt:lpwstr>
      </vt:variant>
      <vt:variant>
        <vt:lpwstr/>
      </vt:variant>
      <vt:variant>
        <vt:i4>4718621</vt:i4>
      </vt:variant>
      <vt:variant>
        <vt:i4>6</vt:i4>
      </vt:variant>
      <vt:variant>
        <vt:i4>0</vt:i4>
      </vt:variant>
      <vt:variant>
        <vt:i4>5</vt:i4>
      </vt:variant>
      <vt:variant>
        <vt:lpwstr>https://it.wikipedia.org/wiki/Pratiche_commerciali_scorrette</vt:lpwstr>
      </vt:variant>
      <vt:variant>
        <vt:lpwstr/>
      </vt:variant>
      <vt:variant>
        <vt:i4>6094854</vt:i4>
      </vt:variant>
      <vt:variant>
        <vt:i4>3</vt:i4>
      </vt:variant>
      <vt:variant>
        <vt:i4>0</vt:i4>
      </vt:variant>
      <vt:variant>
        <vt:i4>5</vt:i4>
      </vt:variant>
      <vt:variant>
        <vt:lpwstr>https://it.wikipedia.org/wiki/Tutela_del_consumatore</vt:lpwstr>
      </vt:variant>
      <vt:variant>
        <vt:lpwstr/>
      </vt:variant>
      <vt:variant>
        <vt:i4>7995394</vt:i4>
      </vt:variant>
      <vt:variant>
        <vt:i4>0</vt:i4>
      </vt:variant>
      <vt:variant>
        <vt:i4>0</vt:i4>
      </vt:variant>
      <vt:variant>
        <vt:i4>5</vt:i4>
      </vt:variant>
      <vt:variant>
        <vt:lpwstr>https://it.wikipedia.org/wiki/Posizione_dominante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2022-12-06T07:00:00Z</dcterms:created>
  <dcterms:modified xsi:type="dcterms:W3CDTF">2023-01-30T13:04:00Z</dcterms:modified>
</cp:coreProperties>
</file>